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C775EEE" w:rsidR="00E90E49" w:rsidRPr="00D97220" w:rsidRDefault="00E90E49" w:rsidP="00E35559">
      <w:pPr>
        <w:pStyle w:val="3GPPHeader"/>
        <w:spacing w:after="60"/>
        <w:rPr>
          <w:sz w:val="32"/>
          <w:szCs w:val="32"/>
          <w:highlight w:val="yellow"/>
        </w:rPr>
      </w:pPr>
      <w:r w:rsidRPr="00D97220">
        <w:rPr>
          <w:highlight w:val="yellow"/>
        </w:rPr>
        <w:t>3GPP TSG-RAN WG</w:t>
      </w:r>
      <w:r w:rsidR="00F20F5C" w:rsidRPr="00D97220">
        <w:rPr>
          <w:highlight w:val="yellow"/>
        </w:rPr>
        <w:t>2</w:t>
      </w:r>
      <w:r w:rsidRPr="00D97220">
        <w:rPr>
          <w:highlight w:val="yellow"/>
        </w:rPr>
        <w:t xml:space="preserve"> #</w:t>
      </w:r>
      <w:r w:rsidR="00F20F5C" w:rsidRPr="00D97220">
        <w:rPr>
          <w:highlight w:val="yellow"/>
        </w:rPr>
        <w:t>1</w:t>
      </w:r>
      <w:r w:rsidR="00991AE2" w:rsidRPr="00D97220">
        <w:rPr>
          <w:highlight w:val="yellow"/>
        </w:rPr>
        <w:t>2</w:t>
      </w:r>
      <w:r w:rsidR="00745F29">
        <w:rPr>
          <w:highlight w:val="yellow"/>
        </w:rPr>
        <w:t>4</w:t>
      </w:r>
      <w:r w:rsidRPr="00D97220">
        <w:rPr>
          <w:highlight w:val="yellow"/>
        </w:rPr>
        <w:tab/>
      </w:r>
      <w:r w:rsidR="00FF2406" w:rsidRPr="00FF2406">
        <w:rPr>
          <w:szCs w:val="24"/>
        </w:rPr>
        <w:t>R2-2313094</w:t>
      </w:r>
    </w:p>
    <w:p w14:paraId="0AE1A2E9" w14:textId="77777777" w:rsidR="00321E69" w:rsidRPr="00CE0424" w:rsidRDefault="00321E69" w:rsidP="00321E69">
      <w:pPr>
        <w:pStyle w:val="3GPPHeader"/>
      </w:pPr>
      <w:r>
        <w:t xml:space="preserve">Chicago, USA, 2023-11-13 – 2023-11-17 </w:t>
      </w:r>
    </w:p>
    <w:p w14:paraId="252563D4" w14:textId="77777777" w:rsidR="00E90E49" w:rsidRPr="00247B61" w:rsidRDefault="00E90E49" w:rsidP="00357380">
      <w:pPr>
        <w:pStyle w:val="3GPPHeader"/>
        <w:rPr>
          <w:lang w:val="es-ES"/>
        </w:rPr>
      </w:pPr>
    </w:p>
    <w:p w14:paraId="267378A2" w14:textId="0331A3B9" w:rsidR="00E90E49" w:rsidRPr="00247B61" w:rsidRDefault="00E90E49" w:rsidP="00311702">
      <w:pPr>
        <w:pStyle w:val="3GPPHeader"/>
        <w:rPr>
          <w:sz w:val="22"/>
          <w:szCs w:val="22"/>
          <w:lang w:val="es-ES"/>
        </w:rPr>
      </w:pPr>
      <w:r w:rsidRPr="00247B61">
        <w:rPr>
          <w:sz w:val="22"/>
          <w:szCs w:val="22"/>
          <w:lang w:val="es-ES"/>
        </w:rPr>
        <w:t>Agenda Item:</w:t>
      </w:r>
      <w:r w:rsidRPr="00247B61">
        <w:rPr>
          <w:sz w:val="22"/>
          <w:szCs w:val="22"/>
          <w:lang w:val="es-ES"/>
        </w:rPr>
        <w:tab/>
      </w:r>
      <w:r w:rsidR="005C51E1">
        <w:rPr>
          <w:sz w:val="22"/>
          <w:szCs w:val="22"/>
          <w:lang w:val="es-ES"/>
        </w:rPr>
        <w:t>7</w:t>
      </w:r>
      <w:r w:rsidR="00737B3A" w:rsidRPr="00247B61">
        <w:rPr>
          <w:sz w:val="22"/>
          <w:szCs w:val="22"/>
          <w:lang w:val="es-ES"/>
        </w:rPr>
        <w:t>.</w:t>
      </w:r>
      <w:r w:rsidR="005C51E1">
        <w:rPr>
          <w:sz w:val="22"/>
          <w:szCs w:val="22"/>
          <w:lang w:val="es-ES"/>
        </w:rPr>
        <w:t>5</w:t>
      </w:r>
      <w:r w:rsidR="00737B3A" w:rsidRPr="00247B61">
        <w:rPr>
          <w:sz w:val="22"/>
          <w:szCs w:val="22"/>
          <w:lang w:val="es-ES"/>
        </w:rPr>
        <w:t>.</w:t>
      </w:r>
      <w:r w:rsidR="005C51E1">
        <w:rPr>
          <w:sz w:val="22"/>
          <w:szCs w:val="22"/>
          <w:lang w:val="es-ES"/>
        </w:rPr>
        <w:t>5</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5EFCBF0" w:rsidR="00E90E49" w:rsidRPr="008C59D6" w:rsidRDefault="003D3C45" w:rsidP="00311702">
      <w:pPr>
        <w:pStyle w:val="3GPPHeader"/>
        <w:rPr>
          <w:sz w:val="22"/>
          <w:szCs w:val="22"/>
        </w:rPr>
      </w:pPr>
      <w:r w:rsidRPr="008C59D6">
        <w:rPr>
          <w:sz w:val="22"/>
          <w:szCs w:val="22"/>
        </w:rPr>
        <w:t>Title:</w:t>
      </w:r>
      <w:r w:rsidR="00E90E49" w:rsidRPr="008C59D6">
        <w:rPr>
          <w:sz w:val="22"/>
          <w:szCs w:val="22"/>
        </w:rPr>
        <w:tab/>
      </w:r>
      <w:r w:rsidR="00991AE2" w:rsidRPr="008C59D6">
        <w:rPr>
          <w:sz w:val="22"/>
          <w:szCs w:val="22"/>
        </w:rPr>
        <w:t xml:space="preserve">Discussion on </w:t>
      </w:r>
      <w:r w:rsidR="00305666" w:rsidRPr="008C59D6">
        <w:rPr>
          <w:sz w:val="22"/>
          <w:szCs w:val="22"/>
        </w:rPr>
        <w:t>UE capabilities for XR</w:t>
      </w:r>
    </w:p>
    <w:p w14:paraId="24C111CD" w14:textId="77777777" w:rsidR="00E90E49" w:rsidRPr="00CE0424" w:rsidRDefault="00E90E49" w:rsidP="00D546FF">
      <w:pPr>
        <w:pStyle w:val="3GPPHeader"/>
        <w:rPr>
          <w:sz w:val="22"/>
          <w:szCs w:val="22"/>
        </w:rPr>
      </w:pPr>
      <w:r w:rsidRPr="008C59D6">
        <w:rPr>
          <w:sz w:val="22"/>
          <w:szCs w:val="22"/>
        </w:rPr>
        <w:t>Document for:</w:t>
      </w:r>
      <w:r w:rsidRPr="008C59D6">
        <w:rPr>
          <w:sz w:val="22"/>
          <w:szCs w:val="22"/>
        </w:rPr>
        <w:tab/>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694A489A" w:rsidR="003267B7" w:rsidRPr="003267B7" w:rsidRDefault="003F1DC1" w:rsidP="003267B7">
      <w:pPr>
        <w:rPr>
          <w:rFonts w:ascii="Arial" w:hAnsi="Arial"/>
          <w:lang w:eastAsia="zh-CN"/>
        </w:rPr>
      </w:pPr>
      <w:r>
        <w:rPr>
          <w:rFonts w:ascii="Arial" w:hAnsi="Arial"/>
          <w:lang w:eastAsia="zh-CN"/>
        </w:rPr>
        <w:t xml:space="preserve">This discussion document </w:t>
      </w:r>
      <w:r w:rsidR="00BF20ED">
        <w:rPr>
          <w:rFonts w:ascii="Arial" w:hAnsi="Arial"/>
          <w:lang w:eastAsia="zh-CN"/>
        </w:rPr>
        <w:t xml:space="preserve">establishes the baseline principles for the UE capabilities for XR. </w:t>
      </w:r>
      <w:r w:rsidR="00FB1113">
        <w:rPr>
          <w:rFonts w:ascii="Arial" w:hAnsi="Arial"/>
          <w:lang w:eastAsia="zh-CN"/>
        </w:rPr>
        <w:t>The main focus of this contribution is RAN2 features while RAN1-related UE capabilities are discussed in [1]</w:t>
      </w:r>
      <w:r w:rsidR="001B0D8C">
        <w:rPr>
          <w:rFonts w:ascii="Arial" w:hAnsi="Arial"/>
          <w:lang w:eastAsia="zh-CN"/>
        </w:rPr>
        <w:t>.</w:t>
      </w:r>
    </w:p>
    <w:p w14:paraId="59E13DC4" w14:textId="77777777" w:rsidR="004000E8" w:rsidRDefault="00230D18" w:rsidP="00CE0424">
      <w:pPr>
        <w:pStyle w:val="Heading1"/>
      </w:pPr>
      <w:bookmarkStart w:id="0" w:name="_Ref178064866"/>
      <w:r>
        <w:t>2</w:t>
      </w:r>
      <w:r>
        <w:tab/>
      </w:r>
      <w:r w:rsidR="004000E8" w:rsidRPr="00CE0424">
        <w:t>Discussion</w:t>
      </w:r>
      <w:bookmarkEnd w:id="0"/>
    </w:p>
    <w:p w14:paraId="6B47309A" w14:textId="0F10E48E" w:rsidR="002A1C32" w:rsidRDefault="002A1C32" w:rsidP="002A1C32">
      <w:pPr>
        <w:pStyle w:val="BodyText"/>
      </w:pPr>
      <w:r>
        <w:t xml:space="preserve">In general, features introduced after Release 15 should be optional. </w:t>
      </w:r>
      <w:r w:rsidR="001B4B38">
        <w:t>After Release 15, o</w:t>
      </w:r>
      <w:r>
        <w:t xml:space="preserve">nly critical or very essential features </w:t>
      </w:r>
      <w:r w:rsidR="001B4B38">
        <w:t xml:space="preserve">could be considered to be made mandatory. </w:t>
      </w:r>
      <w:r w:rsidR="00745F29">
        <w:t xml:space="preserve">From the previous RAN2 #123 meeting, the majority of companies share </w:t>
      </w:r>
      <w:r w:rsidR="00E6215C">
        <w:t>our view</w:t>
      </w:r>
      <w:r w:rsidR="00745F29">
        <w:t xml:space="preserve"> and we also acknowledge the details of each UE capability summarized in</w:t>
      </w:r>
      <w:r w:rsidR="00E6215C">
        <w:t xml:space="preserve"> </w:t>
      </w:r>
      <w:r w:rsidR="00E6215C">
        <w:fldChar w:fldCharType="begin"/>
      </w:r>
      <w:r w:rsidR="00E6215C">
        <w:instrText xml:space="preserve"> REF _Ref149121935 \r \h </w:instrText>
      </w:r>
      <w:r w:rsidR="00E6215C">
        <w:fldChar w:fldCharType="separate"/>
      </w:r>
      <w:r w:rsidR="00E6215C">
        <w:t>[2]</w:t>
      </w:r>
      <w:r w:rsidR="00E6215C">
        <w:fldChar w:fldCharType="end"/>
      </w:r>
      <w:r w:rsidR="00745F29">
        <w:t>. In this discussion paper, we confirm the outcomes of the previous meeting</w:t>
      </w:r>
      <w:r w:rsidR="00E6215C">
        <w:t xml:space="preserve"> and discuss further the principles of UE capabilities</w:t>
      </w:r>
      <w:r w:rsidR="00745F29">
        <w:t xml:space="preserve">.  </w:t>
      </w:r>
    </w:p>
    <w:p w14:paraId="4F49441B" w14:textId="25AF7297" w:rsidR="000B7C29" w:rsidRDefault="000B7C29" w:rsidP="002A1C32">
      <w:pPr>
        <w:pStyle w:val="BodyText"/>
      </w:pPr>
      <w:r>
        <w:t xml:space="preserve">All XR-related features being discussed in Release 18 are enhancements and are, therefore, not considered essential. </w:t>
      </w:r>
      <w:r w:rsidR="009670AB">
        <w:t>Furthermore, the</w:t>
      </w:r>
      <w:r w:rsidR="00BF6EC0">
        <w:t>se features are only applicable once the connection has been set-up. At that stage, the network may have acquired the UE capabilities</w:t>
      </w:r>
      <w:r w:rsidR="005E45B5">
        <w:t xml:space="preserve"> via the diverse means it has to achieve so. </w:t>
      </w:r>
    </w:p>
    <w:p w14:paraId="65E37FEA" w14:textId="115064BE" w:rsidR="005E45B5" w:rsidRDefault="005E45B5" w:rsidP="005E45B5">
      <w:pPr>
        <w:pStyle w:val="Proposal"/>
      </w:pPr>
      <w:bookmarkStart w:id="1" w:name="_Toc149865855"/>
      <w:r>
        <w:t xml:space="preserve">All Release 18 </w:t>
      </w:r>
      <w:r w:rsidR="00EF67B8">
        <w:t xml:space="preserve">RAN2 </w:t>
      </w:r>
      <w:r>
        <w:t>XR-related capabilities are optional</w:t>
      </w:r>
      <w:r w:rsidR="00EF67B8">
        <w:t>.</w:t>
      </w:r>
      <w:bookmarkEnd w:id="1"/>
      <w:r w:rsidR="00EF67B8">
        <w:t xml:space="preserve"> </w:t>
      </w:r>
    </w:p>
    <w:p w14:paraId="4F3CDDC9" w14:textId="77777777" w:rsidR="005E45B5" w:rsidRDefault="005E45B5" w:rsidP="002A1C32">
      <w:pPr>
        <w:pStyle w:val="BodyText"/>
      </w:pPr>
    </w:p>
    <w:p w14:paraId="4F8E469C" w14:textId="35EE9D41" w:rsidR="0045597C" w:rsidRDefault="009E6BFC" w:rsidP="002A1C32">
      <w:pPr>
        <w:pStyle w:val="BodyText"/>
      </w:pPr>
      <w:r>
        <w:t xml:space="preserve">While </w:t>
      </w:r>
      <w:r w:rsidR="00745F29">
        <w:t xml:space="preserve">some </w:t>
      </w:r>
      <w:r>
        <w:t xml:space="preserve">of the RAN2 features are still under discussion, we </w:t>
      </w:r>
      <w:r w:rsidR="005614AD">
        <w:t>identif</w:t>
      </w:r>
      <w:r w:rsidR="00140C94">
        <w:t>y</w:t>
      </w:r>
      <w:r w:rsidR="005614AD">
        <w:t xml:space="preserve"> the potential features which need capability bits and the relationship across features, when such relationship exists. </w:t>
      </w:r>
      <w:r w:rsidR="00F33A88">
        <w:t>RAN2-related features are:</w:t>
      </w:r>
    </w:p>
    <w:p w14:paraId="05422521" w14:textId="77777777" w:rsidR="008D3643" w:rsidRDefault="008D3643" w:rsidP="008D3643">
      <w:pPr>
        <w:pStyle w:val="BodyText"/>
        <w:ind w:left="720"/>
      </w:pPr>
    </w:p>
    <w:p w14:paraId="5177830D" w14:textId="1D7E6B37" w:rsidR="008D3643" w:rsidRDefault="008D3643" w:rsidP="008D3643">
      <w:pPr>
        <w:pStyle w:val="BodyText"/>
        <w:numPr>
          <w:ilvl w:val="0"/>
          <w:numId w:val="32"/>
        </w:numPr>
      </w:pPr>
      <w:r>
        <w:t>BSR enhancements</w:t>
      </w:r>
    </w:p>
    <w:p w14:paraId="11A91F46" w14:textId="77777777" w:rsidR="001B798C" w:rsidRDefault="00D430D5" w:rsidP="001B798C">
      <w:pPr>
        <w:pStyle w:val="BodyText"/>
        <w:numPr>
          <w:ilvl w:val="1"/>
          <w:numId w:val="32"/>
        </w:numPr>
      </w:pPr>
      <w:r>
        <w:t>Accurate BSR reporting</w:t>
      </w:r>
      <w:r w:rsidR="002E5C0C">
        <w:t xml:space="preserve"> </w:t>
      </w:r>
      <w:r w:rsidR="002E5C0C">
        <w:br/>
        <w:t xml:space="preserve">This enhancement </w:t>
      </w:r>
      <w:r w:rsidR="001C39E3">
        <w:t xml:space="preserve">may </w:t>
      </w:r>
      <w:r w:rsidR="00A04666">
        <w:t>be comprised</w:t>
      </w:r>
      <w:r w:rsidR="002E5C0C">
        <w:t xml:space="preserve"> of a set of features such as a new BS table, a new BS format, and possibly other enhancements around the BSR functionality specifically when the new BS table is used. </w:t>
      </w:r>
    </w:p>
    <w:p w14:paraId="5DB2D1BA" w14:textId="3761A527" w:rsidR="001B798C" w:rsidRDefault="001B798C" w:rsidP="001B798C">
      <w:pPr>
        <w:pStyle w:val="BodyText"/>
        <w:ind w:left="1080"/>
      </w:pPr>
      <w:r>
        <w:t xml:space="preserve">Accurate BSR reporting does not need of other Release 18 XR features to operate and therefore, this is an enhancement which can be supported independently from other XR </w:t>
      </w:r>
      <w:r w:rsidR="003F1CE4">
        <w:t>enhancements</w:t>
      </w:r>
      <w:r>
        <w:t>.</w:t>
      </w:r>
      <w:r w:rsidR="003F1CE4">
        <w:t xml:space="preserve"> The network, though, will need to know whether the UE supports this feature</w:t>
      </w:r>
      <w:r w:rsidR="0028328B">
        <w:t xml:space="preserve"> so it can configure its use. </w:t>
      </w:r>
      <w:r w:rsidR="006A0305">
        <w:t>Thus, accurate BSR reporting should have its own capability bit.</w:t>
      </w:r>
      <w:r w:rsidR="00FA52A5">
        <w:t xml:space="preserve"> </w:t>
      </w:r>
      <w:r w:rsidR="007C4F0E">
        <w:t>We do not see any need to differentiate the support of this feature between TDD and FDD, or between FR1 and FR2.</w:t>
      </w:r>
    </w:p>
    <w:p w14:paraId="0559692C" w14:textId="77777777" w:rsidR="001B798C" w:rsidRDefault="001B798C" w:rsidP="001B798C">
      <w:pPr>
        <w:pStyle w:val="BodyText"/>
        <w:ind w:left="1080"/>
      </w:pPr>
    </w:p>
    <w:p w14:paraId="530096E7" w14:textId="75C3836E" w:rsidR="007F3267" w:rsidRDefault="00D430D5" w:rsidP="00247B61">
      <w:pPr>
        <w:pStyle w:val="BodyText"/>
        <w:numPr>
          <w:ilvl w:val="1"/>
          <w:numId w:val="32"/>
        </w:numPr>
      </w:pPr>
      <w:r>
        <w:t xml:space="preserve">Delay </w:t>
      </w:r>
      <w:r w:rsidR="00F93ADB">
        <w:t>Status Reporting (DSR)</w:t>
      </w:r>
      <w:r>
        <w:br/>
      </w:r>
      <w:r w:rsidR="004A2EFE">
        <w:t>C</w:t>
      </w:r>
      <w:r w:rsidR="007F3267">
        <w:t>urrent discussions point at that d</w:t>
      </w:r>
      <w:r w:rsidR="00D42CC9">
        <w:t xml:space="preserve">elay reporting </w:t>
      </w:r>
      <w:r w:rsidR="004A2EFE">
        <w:t xml:space="preserve">will </w:t>
      </w:r>
      <w:r w:rsidR="00D42CC9">
        <w:t xml:space="preserve">include </w:t>
      </w:r>
      <w:r w:rsidR="007F3267">
        <w:t xml:space="preserve">some sort of </w:t>
      </w:r>
      <w:r w:rsidR="005C438F">
        <w:t xml:space="preserve">information about the amount of data within one or more delay </w:t>
      </w:r>
      <w:r w:rsidR="00590F9D">
        <w:t xml:space="preserve">thresholds </w:t>
      </w:r>
      <w:r w:rsidR="00994A80">
        <w:t>for a given LCG</w:t>
      </w:r>
      <w:r w:rsidR="00041A27">
        <w:t xml:space="preserve">. </w:t>
      </w:r>
      <w:r w:rsidR="001B7F32">
        <w:t xml:space="preserve">The </w:t>
      </w:r>
      <w:r w:rsidR="00982624">
        <w:t xml:space="preserve">delay </w:t>
      </w:r>
      <w:r w:rsidR="001B7F32">
        <w:t xml:space="preserve">threshold will </w:t>
      </w:r>
      <w:r w:rsidR="00982624">
        <w:t xml:space="preserve">be defined as the time to discard </w:t>
      </w:r>
      <w:r w:rsidR="00994A80">
        <w:t xml:space="preserve">a </w:t>
      </w:r>
      <w:r w:rsidR="001B7F32">
        <w:t>PDU</w:t>
      </w:r>
      <w:r w:rsidR="00A24009">
        <w:t xml:space="preserve"> Set</w:t>
      </w:r>
      <w:r w:rsidR="00982624">
        <w:t xml:space="preserve">. It can be argued that PDU </w:t>
      </w:r>
      <w:r w:rsidR="00984C67">
        <w:t>s</w:t>
      </w:r>
      <w:r w:rsidR="00982624">
        <w:t xml:space="preserve">et </w:t>
      </w:r>
      <w:r w:rsidR="00984C67">
        <w:t xml:space="preserve">identification </w:t>
      </w:r>
      <w:r w:rsidR="00982624">
        <w:t xml:space="preserve">is, therefore, </w:t>
      </w:r>
      <w:r w:rsidR="0083464B">
        <w:t xml:space="preserve">required to support delay reporting. </w:t>
      </w:r>
      <w:r w:rsidR="00994A80">
        <w:t>On the other hand</w:t>
      </w:r>
      <w:r w:rsidR="00C5545F">
        <w:t xml:space="preserve">, it can be argued that </w:t>
      </w:r>
      <w:r w:rsidR="005A242F">
        <w:t xml:space="preserve">considering the </w:t>
      </w:r>
      <w:r w:rsidR="00C5545F">
        <w:lastRenderedPageBreak/>
        <w:t xml:space="preserve">current </w:t>
      </w:r>
      <w:r w:rsidR="005A242F">
        <w:t xml:space="preserve">status on the discussions related to </w:t>
      </w:r>
      <w:r w:rsidR="00C5545F">
        <w:t>PDU Set Discard operation</w:t>
      </w:r>
      <w:r w:rsidR="005A242F">
        <w:t xml:space="preserve">, </w:t>
      </w:r>
      <w:r w:rsidR="00267902">
        <w:t xml:space="preserve">delay reporting does not need of PDU Set Identifications. PDU Set Discard may be based on </w:t>
      </w:r>
      <w:r w:rsidR="006872AC">
        <w:t xml:space="preserve">legacy functionality </w:t>
      </w:r>
      <w:r w:rsidR="00267902">
        <w:t xml:space="preserve">with some small additions. This means that the legacy functionality </w:t>
      </w:r>
      <w:r w:rsidR="006872AC">
        <w:t>will be kept i.e. each individual IP packet will have its own PDCP discard timer. However, when the first PDCP discard timer expires, if the UE supports PDU Set Identification, then all PDCP PDU packets associated to the PDU Set will be discarded</w:t>
      </w:r>
      <w:r w:rsidR="005A242F">
        <w:t xml:space="preserve">. </w:t>
      </w:r>
      <w:r w:rsidR="003B6E37">
        <w:t xml:space="preserve">This means that if delay reporting is based on the time to PDCP discard time, the feature is independent of PDU Set identification. </w:t>
      </w:r>
      <w:r w:rsidR="001802FE">
        <w:t xml:space="preserve">If the UE supports PDU Set Identification, then </w:t>
      </w:r>
      <w:r w:rsidR="00E41443">
        <w:t>from a delay reporting</w:t>
      </w:r>
      <w:r w:rsidR="0001270A">
        <w:t xml:space="preserve"> perspective</w:t>
      </w:r>
      <w:r w:rsidR="00E41443">
        <w:t xml:space="preserve">, </w:t>
      </w:r>
      <w:r w:rsidR="001802FE">
        <w:t>all PDCP PDU sets could</w:t>
      </w:r>
      <w:r w:rsidR="00E41443">
        <w:t xml:space="preserve"> use the same time reference </w:t>
      </w:r>
      <w:r w:rsidR="00AD4BE4">
        <w:t>instead of using each individual PDCP discard timer.</w:t>
      </w:r>
    </w:p>
    <w:p w14:paraId="1AA7A857" w14:textId="12D7737B" w:rsidR="0057126B" w:rsidRDefault="004905C4" w:rsidP="0057126B">
      <w:pPr>
        <w:pStyle w:val="BodyText"/>
        <w:ind w:left="1080"/>
      </w:pPr>
      <w:r>
        <w:t xml:space="preserve">In conclusion, delay reporting </w:t>
      </w:r>
      <w:r w:rsidR="005932E3">
        <w:t>can operate by itself and does not need of other Release 18 XR</w:t>
      </w:r>
      <w:r w:rsidR="00D230B5">
        <w:t xml:space="preserve"> features</w:t>
      </w:r>
      <w:r w:rsidR="005932E3">
        <w:t>. T</w:t>
      </w:r>
      <w:r w:rsidR="0057126B">
        <w:t>herefore, this is an enhancement which can be supported independently from other XR enhancements</w:t>
      </w:r>
      <w:r w:rsidR="002962D7">
        <w:t xml:space="preserve">. </w:t>
      </w:r>
      <w:r w:rsidR="0057126B">
        <w:t xml:space="preserve">The network, though, will need to know whether the UE supports this feature so it can configure its use. Thus, </w:t>
      </w:r>
      <w:r w:rsidR="00FD482C">
        <w:t>delay reporting</w:t>
      </w:r>
      <w:r w:rsidR="0057126B">
        <w:t xml:space="preserve"> should have its own capability bit.</w:t>
      </w:r>
      <w:r w:rsidR="00FA52A5">
        <w:t xml:space="preserve"> We do not see any need to differentiate </w:t>
      </w:r>
      <w:r w:rsidR="007C4F0E">
        <w:t xml:space="preserve">the support of this feature </w:t>
      </w:r>
      <w:r w:rsidR="00FA52A5">
        <w:t>between TDD and FDD</w:t>
      </w:r>
      <w:r w:rsidR="007C4F0E">
        <w:t>, or between FR1 and FR2.</w:t>
      </w:r>
    </w:p>
    <w:p w14:paraId="3AD4FBEF" w14:textId="77777777" w:rsidR="00C1100D" w:rsidRDefault="00C1100D" w:rsidP="0057126B">
      <w:pPr>
        <w:pStyle w:val="BodyText"/>
        <w:ind w:left="1080"/>
      </w:pPr>
    </w:p>
    <w:p w14:paraId="5C690048" w14:textId="1238BD0E" w:rsidR="001B7D26" w:rsidRDefault="00F93ADB" w:rsidP="00F5346E">
      <w:pPr>
        <w:pStyle w:val="Proposal"/>
      </w:pPr>
      <w:bookmarkStart w:id="2" w:name="_Toc149865856"/>
      <w:r>
        <w:t xml:space="preserve">Accurate </w:t>
      </w:r>
      <w:r w:rsidR="00C40B87">
        <w:t xml:space="preserve">BSR </w:t>
      </w:r>
      <w:r>
        <w:t>reporting</w:t>
      </w:r>
      <w:r w:rsidR="00C40B87">
        <w:t>:</w:t>
      </w:r>
      <w:r w:rsidR="00C40B87">
        <w:br/>
      </w:r>
      <w:r w:rsidR="00F5346E">
        <w:t>- A capability indication is defined.</w:t>
      </w:r>
      <w:r w:rsidR="001B7D26">
        <w:br/>
        <w:t>- No need to differentiate the support between TDD/FDD and FR1/FR2.</w:t>
      </w:r>
      <w:bookmarkEnd w:id="2"/>
    </w:p>
    <w:p w14:paraId="49DA8E00" w14:textId="77777777" w:rsidR="00F93ADB" w:rsidRDefault="00F93ADB" w:rsidP="00F93ADB">
      <w:pPr>
        <w:pStyle w:val="BodyText"/>
        <w:ind w:left="1080"/>
      </w:pPr>
    </w:p>
    <w:p w14:paraId="6086650C" w14:textId="02AD57FC" w:rsidR="00F93ADB" w:rsidRDefault="00F93ADB" w:rsidP="00F5346E">
      <w:pPr>
        <w:pStyle w:val="Proposal"/>
      </w:pPr>
      <w:bookmarkStart w:id="3" w:name="_Toc149865857"/>
      <w:r>
        <w:t>D</w:t>
      </w:r>
      <w:r w:rsidR="00D1789E">
        <w:t>elay Status Reporting</w:t>
      </w:r>
      <w:r>
        <w:t>:</w:t>
      </w:r>
      <w:r>
        <w:br/>
        <w:t xml:space="preserve">- </w:t>
      </w:r>
      <w:r w:rsidR="00F5346E">
        <w:t>A capability indication is defined.</w:t>
      </w:r>
      <w:r>
        <w:t xml:space="preserve"> </w:t>
      </w:r>
      <w:r>
        <w:br/>
        <w:t>- No need to differentiate the support between TDD/FDD and FR1/FR2.</w:t>
      </w:r>
      <w:bookmarkEnd w:id="3"/>
    </w:p>
    <w:p w14:paraId="3FDF2D9E" w14:textId="0B883FD8" w:rsidR="00A674AA" w:rsidRDefault="00A674AA" w:rsidP="00A674AA">
      <w:pPr>
        <w:pStyle w:val="BodyText"/>
      </w:pPr>
    </w:p>
    <w:p w14:paraId="62D6A2CA" w14:textId="77777777" w:rsidR="00000DA0" w:rsidRDefault="00000DA0" w:rsidP="00A674AA">
      <w:pPr>
        <w:pStyle w:val="BodyText"/>
        <w:numPr>
          <w:ilvl w:val="0"/>
          <w:numId w:val="32"/>
        </w:numPr>
      </w:pPr>
      <w:r>
        <w:t>Discard mechanisms</w:t>
      </w:r>
    </w:p>
    <w:p w14:paraId="0F158E5D" w14:textId="137EC488" w:rsidR="00A674AA" w:rsidRDefault="00000DA0" w:rsidP="00902909">
      <w:pPr>
        <w:pStyle w:val="BodyText"/>
        <w:numPr>
          <w:ilvl w:val="1"/>
          <w:numId w:val="32"/>
        </w:numPr>
      </w:pPr>
      <w:r>
        <w:t>PDU Set discard</w:t>
      </w:r>
      <w:r w:rsidR="00A674AA">
        <w:br/>
        <w:t>This enhancement</w:t>
      </w:r>
      <w:r w:rsidR="00F101C2">
        <w:t xml:space="preserve"> </w:t>
      </w:r>
      <w:r w:rsidR="00F53905">
        <w:t>sit</w:t>
      </w:r>
      <w:r w:rsidR="00E572D3">
        <w:t>s</w:t>
      </w:r>
      <w:r w:rsidR="00F53905">
        <w:t xml:space="preserve"> on top of the currently specified discarding mechanisms</w:t>
      </w:r>
      <w:r w:rsidR="00E119D7">
        <w:t xml:space="preserve">. </w:t>
      </w:r>
      <w:r w:rsidR="00FC309E">
        <w:t xml:space="preserve">However, </w:t>
      </w:r>
      <w:r w:rsidR="005E0749">
        <w:t xml:space="preserve">PDU set discard </w:t>
      </w:r>
      <w:r w:rsidR="006702FD">
        <w:t xml:space="preserve">would </w:t>
      </w:r>
      <w:r w:rsidR="00A674AA">
        <w:t>depend on the support of PDU set identification</w:t>
      </w:r>
      <w:r w:rsidR="00A37F6F">
        <w:t>.</w:t>
      </w:r>
      <w:r w:rsidR="00FA1307">
        <w:t xml:space="preserve"> If the UE supports PDU set discard, it should also support PDU Set Identification.</w:t>
      </w:r>
      <w:r w:rsidR="00690CBE">
        <w:t xml:space="preserve"> There is a discussion to associated “PDU Set Discard” with the support of other </w:t>
      </w:r>
      <w:r w:rsidR="000F22CE">
        <w:t xml:space="preserve">features such as PSI identification or PSIHI support; however, “PDU Set Discard” is a feature </w:t>
      </w:r>
      <w:r w:rsidR="005033CB">
        <w:t xml:space="preserve">for </w:t>
      </w:r>
      <w:r w:rsidR="000F22CE">
        <w:t xml:space="preserve">which </w:t>
      </w:r>
      <w:r w:rsidR="005033CB">
        <w:t xml:space="preserve">it </w:t>
      </w:r>
      <w:r w:rsidR="000F22CE">
        <w:t xml:space="preserve">has </w:t>
      </w:r>
      <w:r w:rsidR="005033CB">
        <w:t xml:space="preserve">been </w:t>
      </w:r>
      <w:r w:rsidR="000F22CE">
        <w:t xml:space="preserve">shown benefits </w:t>
      </w:r>
      <w:r w:rsidR="00586866">
        <w:t xml:space="preserve">in its own. </w:t>
      </w:r>
      <w:r w:rsidR="00902909">
        <w:br/>
      </w:r>
      <w:r w:rsidR="00CB1A19">
        <w:br/>
      </w:r>
      <w:r w:rsidR="00E156D9">
        <w:t>This results in that the PDU Set Discard should have its own capability bit.</w:t>
      </w:r>
      <w:r w:rsidR="00C57526">
        <w:t xml:space="preserve"> We do not see any need to differentiate between TDD and FDD</w:t>
      </w:r>
      <w:r w:rsidR="00D122F5">
        <w:t>, or between FR1 and FR2</w:t>
      </w:r>
      <w:r w:rsidR="00C57526">
        <w:t>.</w:t>
      </w:r>
      <w:r w:rsidR="00F6302F">
        <w:br/>
      </w:r>
    </w:p>
    <w:p w14:paraId="255F714D" w14:textId="01584CEA" w:rsidR="001B7D26" w:rsidRDefault="001B7D26" w:rsidP="001B7D26">
      <w:pPr>
        <w:pStyle w:val="Proposal"/>
      </w:pPr>
      <w:bookmarkStart w:id="4" w:name="_Toc149865858"/>
      <w:r>
        <w:t xml:space="preserve">For </w:t>
      </w:r>
      <w:r w:rsidR="0007728D">
        <w:t>PDU Set Discard</w:t>
      </w:r>
      <w:r>
        <w:t>:</w:t>
      </w:r>
      <w:r>
        <w:br/>
        <w:t xml:space="preserve">- </w:t>
      </w:r>
      <w:r w:rsidR="0007728D">
        <w:t xml:space="preserve">A capability </w:t>
      </w:r>
      <w:r w:rsidR="00F93ADB">
        <w:t xml:space="preserve">indication </w:t>
      </w:r>
      <w:r w:rsidR="0007728D">
        <w:t>is defined</w:t>
      </w:r>
      <w:r w:rsidR="003E61CA">
        <w:t>.</w:t>
      </w:r>
      <w:r w:rsidR="003E61CA">
        <w:br/>
        <w:t xml:space="preserve">- If this </w:t>
      </w:r>
      <w:r w:rsidR="00F5346E">
        <w:t>is indicated</w:t>
      </w:r>
      <w:r w:rsidR="003E61CA">
        <w:t xml:space="preserve">, </w:t>
      </w:r>
      <w:r w:rsidR="00EC5512">
        <w:t>the UE is capable of PDU Set Identification.</w:t>
      </w:r>
      <w:r>
        <w:br/>
        <w:t>- No need to differentiate the support between TDD/FDD and FR1/FR2.</w:t>
      </w:r>
      <w:bookmarkEnd w:id="4"/>
    </w:p>
    <w:p w14:paraId="5AEE0C31" w14:textId="77777777" w:rsidR="00532F23" w:rsidRDefault="00532F23" w:rsidP="00532F23">
      <w:pPr>
        <w:pStyle w:val="Proposal"/>
        <w:numPr>
          <w:ilvl w:val="0"/>
          <w:numId w:val="0"/>
        </w:numPr>
        <w:ind w:left="1701" w:hanging="1701"/>
      </w:pPr>
    </w:p>
    <w:p w14:paraId="633292ED" w14:textId="429A34B6" w:rsidR="006379E9" w:rsidRDefault="00B03213" w:rsidP="00247B61">
      <w:pPr>
        <w:pStyle w:val="BodyText"/>
        <w:numPr>
          <w:ilvl w:val="1"/>
          <w:numId w:val="32"/>
        </w:numPr>
      </w:pPr>
      <w:r>
        <w:t xml:space="preserve">PSI-based </w:t>
      </w:r>
      <w:r w:rsidR="00532F23">
        <w:t>PDU Set discard</w:t>
      </w:r>
      <w:r w:rsidR="00532F23">
        <w:br/>
        <w:t>This enhancement sits on top of PDU Set Discard</w:t>
      </w:r>
      <w:r>
        <w:t>. The UE discards PDU Set based on their PSI levels if configured by the network. When no PSI levels are defined, the UE would discard</w:t>
      </w:r>
      <w:r w:rsidR="004E5C17">
        <w:t xml:space="preserve"> PDU Sets following the rules defined for PDU Set Discard. </w:t>
      </w:r>
    </w:p>
    <w:p w14:paraId="3DCE5B6B" w14:textId="77777777" w:rsidR="007C733E" w:rsidRDefault="00135580" w:rsidP="006379E9">
      <w:pPr>
        <w:pStyle w:val="BodyText"/>
        <w:ind w:left="1080"/>
      </w:pPr>
      <w:r>
        <w:t xml:space="preserve">PSI-based </w:t>
      </w:r>
      <w:r w:rsidR="00532F23">
        <w:t xml:space="preserve">PDU set discard depends on the support of </w:t>
      </w:r>
      <w:r>
        <w:t>PSI</w:t>
      </w:r>
      <w:r w:rsidR="00532F23">
        <w:t xml:space="preserve"> identification</w:t>
      </w:r>
      <w:r w:rsidR="007C733E">
        <w:t xml:space="preserve"> and PDU Set Identification. The latter is required for the support of the baseline PDU Set Discard</w:t>
      </w:r>
      <w:r w:rsidR="00532F23">
        <w:t xml:space="preserve">. </w:t>
      </w:r>
    </w:p>
    <w:p w14:paraId="0BD113E6" w14:textId="77777777" w:rsidR="004353D3" w:rsidRDefault="004353D3" w:rsidP="00247B61">
      <w:pPr>
        <w:pStyle w:val="BodyText"/>
      </w:pPr>
    </w:p>
    <w:p w14:paraId="745C054B" w14:textId="6E450876" w:rsidR="00532F23" w:rsidRDefault="007C553A" w:rsidP="00247B61">
      <w:pPr>
        <w:pStyle w:val="BodyText"/>
        <w:ind w:left="1080"/>
      </w:pPr>
      <w:r>
        <w:t xml:space="preserve">PSIHI </w:t>
      </w:r>
      <w:r w:rsidR="007D0625">
        <w:t>indicates</w:t>
      </w:r>
      <w:r w:rsidR="009371B3">
        <w:t xml:space="preserve"> </w:t>
      </w:r>
      <w:r w:rsidR="00046536" w:rsidRPr="00046536">
        <w:t>whether all PDUs of the PDU Set are needed for the usage of PDU Set by application layer</w:t>
      </w:r>
      <w:r w:rsidR="004353D3">
        <w:t xml:space="preserve">. </w:t>
      </w:r>
      <w:r w:rsidR="003C6FB1">
        <w:t xml:space="preserve">This indication, when set, </w:t>
      </w:r>
      <w:r w:rsidR="00FF3521">
        <w:t xml:space="preserve">will result in that the </w:t>
      </w:r>
      <w:r w:rsidR="00122FB7">
        <w:t xml:space="preserve">network may try to send </w:t>
      </w:r>
      <w:r w:rsidR="00E70BD9">
        <w:t xml:space="preserve">all </w:t>
      </w:r>
      <w:r w:rsidR="008D1C37">
        <w:t>packets</w:t>
      </w:r>
      <w:r w:rsidR="001D4F17">
        <w:t xml:space="preserve"> </w:t>
      </w:r>
      <w:r w:rsidR="00CA444B">
        <w:t>no matter how</w:t>
      </w:r>
      <w:r w:rsidR="00E70BD9">
        <w:t xml:space="preserve"> </w:t>
      </w:r>
      <w:r w:rsidR="00CE4DC3">
        <w:t>late</w:t>
      </w:r>
      <w:r w:rsidR="00CA444B">
        <w:t xml:space="preserve"> they are and </w:t>
      </w:r>
      <w:r w:rsidR="007F69B2">
        <w:t>regardless of</w:t>
      </w:r>
      <w:r w:rsidR="00CA444B">
        <w:t xml:space="preserve"> if this results in that other packets </w:t>
      </w:r>
      <w:r w:rsidR="0005545B">
        <w:t>a</w:t>
      </w:r>
      <w:r w:rsidR="00007480">
        <w:t>re further delayed</w:t>
      </w:r>
      <w:r w:rsidR="00122FB7">
        <w:t xml:space="preserve">. However, there is no guarantee from the network about the behaviour the network will apply when in congestion situations or when the queued time exceeds the </w:t>
      </w:r>
      <w:r w:rsidR="00F3527C">
        <w:t xml:space="preserve">PDU Set Delay Budget. PSIHI </w:t>
      </w:r>
      <w:r w:rsidR="00F33F70">
        <w:t xml:space="preserve">information </w:t>
      </w:r>
      <w:r w:rsidR="007D0625">
        <w:t>is an optional parameters provided by the core network and, therefore, the UE does not need to indicate as parts of its capabilities</w:t>
      </w:r>
      <w:r w:rsidR="00052116">
        <w:t xml:space="preserve">. </w:t>
      </w:r>
      <w:r w:rsidR="00532F23">
        <w:br/>
      </w:r>
      <w:r w:rsidR="00532F23">
        <w:lastRenderedPageBreak/>
        <w:br/>
      </w:r>
    </w:p>
    <w:p w14:paraId="39C8BC48" w14:textId="028D2A6E" w:rsidR="00532F23" w:rsidRDefault="006379E9" w:rsidP="00D43D32">
      <w:pPr>
        <w:pStyle w:val="Proposal"/>
      </w:pPr>
      <w:bookmarkStart w:id="5" w:name="_Toc149865859"/>
      <w:r>
        <w:t xml:space="preserve">For </w:t>
      </w:r>
      <w:r w:rsidR="0007728D">
        <w:t>PSI-based PDU Set Discard</w:t>
      </w:r>
      <w:r>
        <w:t>:</w:t>
      </w:r>
      <w:r>
        <w:br/>
        <w:t xml:space="preserve">- </w:t>
      </w:r>
      <w:r w:rsidR="0007728D">
        <w:t xml:space="preserve">A </w:t>
      </w:r>
      <w:r>
        <w:t xml:space="preserve">capability </w:t>
      </w:r>
      <w:r w:rsidR="00D122F5">
        <w:t xml:space="preserve">indication </w:t>
      </w:r>
      <w:r w:rsidR="0007728D">
        <w:t>is defined</w:t>
      </w:r>
      <w:r>
        <w:br/>
        <w:t xml:space="preserve">- If this bit is set, the UE is capable of </w:t>
      </w:r>
      <w:r w:rsidR="0007728D">
        <w:t>PDU Set Discard</w:t>
      </w:r>
      <w:r w:rsidR="007D6B86">
        <w:t xml:space="preserve">, </w:t>
      </w:r>
      <w:r>
        <w:t>PDU Set Identification</w:t>
      </w:r>
      <w:r w:rsidR="0007728D">
        <w:t>, and PSI identification</w:t>
      </w:r>
      <w:r w:rsidR="000A1676">
        <w:t>.</w:t>
      </w:r>
      <w:r>
        <w:br/>
        <w:t>- No need to differentiate the support between TDD/FDD and FR1/FR2.</w:t>
      </w:r>
      <w:bookmarkEnd w:id="5"/>
    </w:p>
    <w:p w14:paraId="5152CA2A" w14:textId="77777777" w:rsidR="00D43D32" w:rsidRDefault="00D43D32" w:rsidP="001B7D26">
      <w:pPr>
        <w:pStyle w:val="BodyText"/>
      </w:pPr>
    </w:p>
    <w:p w14:paraId="0353E897" w14:textId="1AAEEACA" w:rsidR="00F6302F" w:rsidRDefault="00F6302F" w:rsidP="00A674AA">
      <w:pPr>
        <w:pStyle w:val="BodyText"/>
        <w:numPr>
          <w:ilvl w:val="0"/>
          <w:numId w:val="32"/>
        </w:numPr>
      </w:pPr>
      <w:r>
        <w:t>DRX</w:t>
      </w:r>
    </w:p>
    <w:p w14:paraId="293128D6" w14:textId="6346C907" w:rsidR="00DB3F08" w:rsidRDefault="00F6302F" w:rsidP="00DB3F08">
      <w:pPr>
        <w:pStyle w:val="BodyText"/>
        <w:numPr>
          <w:ilvl w:val="1"/>
          <w:numId w:val="32"/>
        </w:numPr>
      </w:pPr>
      <w:r>
        <w:t>Support of non-integer periodicities</w:t>
      </w:r>
      <w:r>
        <w:br/>
      </w:r>
      <w:r w:rsidR="00AB2F49">
        <w:t xml:space="preserve">This enhancement is </w:t>
      </w:r>
      <w:r w:rsidR="000F3460">
        <w:t>based on the legacy long DRX support which is mandatory</w:t>
      </w:r>
      <w:r w:rsidR="00370BF4">
        <w:t xml:space="preserve"> feature with capability bit</w:t>
      </w:r>
      <w:r w:rsidR="000F3460">
        <w:t xml:space="preserve"> for UEs</w:t>
      </w:r>
      <w:r w:rsidR="00370BF4">
        <w:t xml:space="preserve"> from Release 15</w:t>
      </w:r>
      <w:r w:rsidR="000F3460">
        <w:t xml:space="preserve">. </w:t>
      </w:r>
      <w:r w:rsidR="00370BF4">
        <w:t>Throughout the successive releases, the DRX features ha</w:t>
      </w:r>
      <w:r w:rsidR="00D6063E">
        <w:t>ve</w:t>
      </w:r>
      <w:r w:rsidR="00370BF4">
        <w:t xml:space="preserve"> been extended with additional functionalities; however, these </w:t>
      </w:r>
      <w:r w:rsidR="00DB3F08">
        <w:t xml:space="preserve">newer functionalities </w:t>
      </w:r>
      <w:r w:rsidR="00370BF4">
        <w:t xml:space="preserve">are not essential for the support of non-integer periodicities. In addition, this feature is </w:t>
      </w:r>
      <w:r w:rsidR="00AB2F49">
        <w:t xml:space="preserve">not </w:t>
      </w:r>
      <w:r w:rsidR="00370BF4">
        <w:t xml:space="preserve">either </w:t>
      </w:r>
      <w:r w:rsidR="00AB2F49">
        <w:t>dependant on any other XR-related feature</w:t>
      </w:r>
      <w:r w:rsidR="00370BF4">
        <w:t>s</w:t>
      </w:r>
      <w:r w:rsidR="007C4F0E">
        <w:t xml:space="preserve">. </w:t>
      </w:r>
      <w:r w:rsidR="00A81969">
        <w:br/>
        <w:t xml:space="preserve">The network needs to know whether the UE supports non-integer periodicities so the network can configure the feature. This results in that the </w:t>
      </w:r>
      <w:r w:rsidR="00DB3F08">
        <w:t xml:space="preserve">support of non-integer periodicities </w:t>
      </w:r>
      <w:r w:rsidR="00A81969">
        <w:t xml:space="preserve">should have its own capability bit. </w:t>
      </w:r>
      <w:r w:rsidR="007C4F0E">
        <w:t>We do not see any need to differentiate the support of this feature between TDD and FDD, or between FR1 and FR2</w:t>
      </w:r>
      <w:r w:rsidR="000A0201">
        <w:t>.</w:t>
      </w:r>
      <w:r w:rsidR="00DB3F08">
        <w:br/>
      </w:r>
    </w:p>
    <w:p w14:paraId="3A95B29C" w14:textId="15789F69" w:rsidR="008E06AD" w:rsidRDefault="0059057A" w:rsidP="000B6502">
      <w:pPr>
        <w:pStyle w:val="BodyText"/>
        <w:numPr>
          <w:ilvl w:val="1"/>
          <w:numId w:val="32"/>
        </w:numPr>
      </w:pPr>
      <w:r>
        <w:t>SFN wrap-around enhancement</w:t>
      </w:r>
      <w:r w:rsidR="008E06AD">
        <w:br/>
      </w:r>
      <w:r w:rsidR="000708BC">
        <w:t xml:space="preserve">This enhancement </w:t>
      </w:r>
      <w:r w:rsidR="00710611">
        <w:t>has been identified and discussed over the years, but it was concluded that the issue was more frequent and serious for XR services.</w:t>
      </w:r>
      <w:r w:rsidR="00843229">
        <w:t xml:space="preserve"> </w:t>
      </w:r>
      <w:r w:rsidR="006D5AF2">
        <w:t>N</w:t>
      </w:r>
      <w:r w:rsidR="000A0201">
        <w:t xml:space="preserve">on-integer periodicities enhancements </w:t>
      </w:r>
      <w:r w:rsidR="00445DD3">
        <w:t xml:space="preserve">address </w:t>
      </w:r>
      <w:r w:rsidR="000A0201">
        <w:t>specific traffic periodicities</w:t>
      </w:r>
      <w:r w:rsidR="006D5AF2">
        <w:t>,</w:t>
      </w:r>
      <w:r w:rsidR="000A0201">
        <w:t xml:space="preserve"> </w:t>
      </w:r>
      <w:r w:rsidR="006D5AF2">
        <w:t>whereas</w:t>
      </w:r>
      <w:r w:rsidR="000A0201">
        <w:t xml:space="preserve"> SFN wrap-around issue was identified regardless of the periodicity value</w:t>
      </w:r>
      <w:r w:rsidR="00EB65AE">
        <w:t xml:space="preserve"> being an integer or not</w:t>
      </w:r>
      <w:r w:rsidR="000A0201">
        <w:t xml:space="preserve">. Thus, SFN wrap-around enhancement can be considered as a stand-alone feature independent of the support of non-integer periodicities. </w:t>
      </w:r>
      <w:r w:rsidR="007B2D9D">
        <w:t xml:space="preserve">Like the feature above, this enhancement is based on the legacy long DRX support which is mandatory from Release 15. </w:t>
      </w:r>
      <w:r w:rsidR="00177393">
        <w:t xml:space="preserve">When it comes to dependencies with other Release 18 XR features, we do not see any cross-dependencies. </w:t>
      </w:r>
      <w:r w:rsidR="00177393">
        <w:br/>
      </w:r>
      <w:r w:rsidR="000A0201">
        <w:t xml:space="preserve">The network needs to know whether the UE supports </w:t>
      </w:r>
      <w:r w:rsidR="00177393">
        <w:t>SFN wrap-around enhancement</w:t>
      </w:r>
      <w:r w:rsidR="000A0201">
        <w:t xml:space="preserve"> so the network can configure the feature</w:t>
      </w:r>
      <w:r w:rsidR="00177393">
        <w:t xml:space="preserve">, therefore, a </w:t>
      </w:r>
      <w:r w:rsidR="000A0201">
        <w:t>capability bit</w:t>
      </w:r>
      <w:r w:rsidR="00177393">
        <w:t xml:space="preserve"> is needed</w:t>
      </w:r>
      <w:r w:rsidR="000A0201">
        <w:t>. We do not see any need to differentiate the support of this feature between TDD and FDD, or between FR1 and FR2</w:t>
      </w:r>
      <w:r w:rsidR="00C232EE">
        <w:t>.</w:t>
      </w:r>
      <w:r w:rsidR="000A0201">
        <w:br/>
      </w:r>
      <w:r w:rsidR="00A5490A">
        <w:br/>
      </w:r>
    </w:p>
    <w:p w14:paraId="4D17FC19" w14:textId="2344E8D3" w:rsidR="00EC5512" w:rsidRDefault="00EC5512" w:rsidP="00EC5512">
      <w:pPr>
        <w:pStyle w:val="Proposal"/>
      </w:pPr>
      <w:bookmarkStart w:id="6" w:name="_Toc149865860"/>
      <w:bookmarkStart w:id="7" w:name="_Hlk142307292"/>
      <w:r>
        <w:t>For DRX enhancements:</w:t>
      </w:r>
      <w:r>
        <w:br/>
        <w:t xml:space="preserve">- Support of non-integer periodicities and SFN wrap-around </w:t>
      </w:r>
      <w:r w:rsidR="00CD56C9">
        <w:t xml:space="preserve">feature have their </w:t>
      </w:r>
      <w:r w:rsidR="00D122F5">
        <w:t>own capability</w:t>
      </w:r>
      <w:r>
        <w:t xml:space="preserve"> </w:t>
      </w:r>
      <w:r w:rsidR="00D122F5">
        <w:t xml:space="preserve">indications </w:t>
      </w:r>
      <w:r w:rsidR="0044754B">
        <w:t xml:space="preserve">for </w:t>
      </w:r>
      <w:r w:rsidR="006A1BFD">
        <w:t>each of them</w:t>
      </w:r>
      <w:r w:rsidR="0044754B">
        <w:t>.</w:t>
      </w:r>
      <w:r>
        <w:br/>
        <w:t>- No need to differentiate the support between TDD/FDD and FR1/FR2.</w:t>
      </w:r>
      <w:bookmarkEnd w:id="6"/>
    </w:p>
    <w:bookmarkEnd w:id="7"/>
    <w:p w14:paraId="6C7484CF" w14:textId="77777777" w:rsidR="00EC5512" w:rsidRDefault="00EC5512" w:rsidP="00247B61">
      <w:pPr>
        <w:pStyle w:val="BodyText"/>
        <w:ind w:left="1080"/>
      </w:pPr>
    </w:p>
    <w:p w14:paraId="25E462D4" w14:textId="77777777" w:rsidR="004F437D" w:rsidRDefault="00A5490A" w:rsidP="008E06AD">
      <w:pPr>
        <w:pStyle w:val="BodyText"/>
        <w:numPr>
          <w:ilvl w:val="0"/>
          <w:numId w:val="32"/>
        </w:numPr>
      </w:pPr>
      <w:r>
        <w:t>XR awareness</w:t>
      </w:r>
    </w:p>
    <w:p w14:paraId="3594B02B" w14:textId="1261E072" w:rsidR="00A5490A" w:rsidRDefault="004F437D" w:rsidP="004F437D">
      <w:pPr>
        <w:pStyle w:val="BodyText"/>
        <w:ind w:left="1080"/>
      </w:pPr>
      <w:r>
        <w:t xml:space="preserve">XR awareness is understood as the capability to </w:t>
      </w:r>
      <w:r w:rsidR="00042D7C">
        <w:t xml:space="preserve">obtain </w:t>
      </w:r>
      <w:r>
        <w:t xml:space="preserve">application and traffic information </w:t>
      </w:r>
      <w:r w:rsidR="00880614">
        <w:t xml:space="preserve">and use it for RRM purposes and, when requested by the network, it should be sent </w:t>
      </w:r>
      <w:r>
        <w:t xml:space="preserve">to the network. Thus, there are two aspects here to consider: 1) the </w:t>
      </w:r>
      <w:r w:rsidR="0039325F">
        <w:t xml:space="preserve">UE </w:t>
      </w:r>
      <w:r w:rsidR="00822482">
        <w:t xml:space="preserve">“ability” </w:t>
      </w:r>
      <w:r>
        <w:t xml:space="preserve">to </w:t>
      </w:r>
      <w:r w:rsidR="00612289">
        <w:t>obtain</w:t>
      </w:r>
      <w:r>
        <w:t xml:space="preserve"> </w:t>
      </w:r>
      <w:r w:rsidR="0039325F">
        <w:t xml:space="preserve">application or traffic information, and 2) the UE capability to report the information which the UE can obtain. </w:t>
      </w:r>
      <w:r w:rsidR="00A5490A">
        <w:br/>
      </w:r>
    </w:p>
    <w:p w14:paraId="570E83AA" w14:textId="35F17613" w:rsidR="00931C68" w:rsidRDefault="00931C68" w:rsidP="00931C68">
      <w:pPr>
        <w:pStyle w:val="BodyText"/>
        <w:ind w:left="1080"/>
      </w:pPr>
      <w:r>
        <w:t>There are a number of elements which the UE may be able to identify</w:t>
      </w:r>
      <w:r w:rsidR="003A15D9">
        <w:t>:</w:t>
      </w:r>
    </w:p>
    <w:p w14:paraId="71FFF0E7" w14:textId="226DD05D" w:rsidR="00A5490A" w:rsidRDefault="00A5490A" w:rsidP="00931C68">
      <w:pPr>
        <w:pStyle w:val="BodyText"/>
        <w:numPr>
          <w:ilvl w:val="2"/>
          <w:numId w:val="32"/>
        </w:numPr>
      </w:pPr>
      <w:r>
        <w:t>PDU set identification</w:t>
      </w:r>
    </w:p>
    <w:p w14:paraId="33BE3781" w14:textId="3B81D72F" w:rsidR="00A5490A" w:rsidRDefault="00A5490A" w:rsidP="00931C68">
      <w:pPr>
        <w:pStyle w:val="BodyText"/>
        <w:numPr>
          <w:ilvl w:val="2"/>
          <w:numId w:val="32"/>
        </w:numPr>
      </w:pPr>
      <w:r>
        <w:t>Data burst identification</w:t>
      </w:r>
    </w:p>
    <w:p w14:paraId="6330A2B4" w14:textId="0C10DE94" w:rsidR="00A5490A" w:rsidRDefault="00A5490A" w:rsidP="00931C68">
      <w:pPr>
        <w:pStyle w:val="BodyText"/>
        <w:numPr>
          <w:ilvl w:val="2"/>
          <w:numId w:val="32"/>
        </w:numPr>
      </w:pPr>
      <w:r>
        <w:t>PSI identification</w:t>
      </w:r>
    </w:p>
    <w:p w14:paraId="75E1E1D2" w14:textId="1811F89D" w:rsidR="00A71D80" w:rsidRDefault="00A71D80" w:rsidP="00931C68">
      <w:pPr>
        <w:pStyle w:val="BodyText"/>
        <w:numPr>
          <w:ilvl w:val="2"/>
          <w:numId w:val="32"/>
        </w:numPr>
      </w:pPr>
      <w:r>
        <w:t>B</w:t>
      </w:r>
      <w:r w:rsidR="00F769D9" w:rsidRPr="00F769D9">
        <w:t>urst arrival time</w:t>
      </w:r>
      <w:r>
        <w:t xml:space="preserve"> per QoS flow</w:t>
      </w:r>
    </w:p>
    <w:p w14:paraId="18F71684" w14:textId="3C825BFE" w:rsidR="00A71D80" w:rsidRDefault="00F769D9" w:rsidP="00931C68">
      <w:pPr>
        <w:pStyle w:val="BodyText"/>
        <w:numPr>
          <w:ilvl w:val="2"/>
          <w:numId w:val="32"/>
        </w:numPr>
      </w:pPr>
      <w:r w:rsidRPr="00F769D9">
        <w:t>UL jitter</w:t>
      </w:r>
      <w:r w:rsidR="00A71D80">
        <w:t xml:space="preserve"> per QoS flow</w:t>
      </w:r>
    </w:p>
    <w:p w14:paraId="6D4DDDF1" w14:textId="5D85F937" w:rsidR="00F769D9" w:rsidRDefault="00A71D80" w:rsidP="00931C68">
      <w:pPr>
        <w:pStyle w:val="BodyText"/>
        <w:numPr>
          <w:ilvl w:val="2"/>
          <w:numId w:val="32"/>
        </w:numPr>
      </w:pPr>
      <w:r>
        <w:t>P</w:t>
      </w:r>
      <w:r w:rsidR="00F769D9" w:rsidRPr="00F769D9">
        <w:t>eriodicity</w:t>
      </w:r>
      <w:r>
        <w:t xml:space="preserve"> per QoS flow </w:t>
      </w:r>
    </w:p>
    <w:p w14:paraId="562545EB" w14:textId="77777777" w:rsidR="00CD0877" w:rsidRDefault="00CD0877" w:rsidP="00CD0877">
      <w:pPr>
        <w:pStyle w:val="BodyText"/>
        <w:ind w:left="1080"/>
      </w:pPr>
    </w:p>
    <w:p w14:paraId="7E80CC77" w14:textId="77B6AA30" w:rsidR="00841024" w:rsidRDefault="00CD0877" w:rsidP="00BB4ADF">
      <w:pPr>
        <w:pStyle w:val="BodyText"/>
        <w:ind w:left="1080"/>
      </w:pPr>
      <w:r>
        <w:lastRenderedPageBreak/>
        <w:t xml:space="preserve">It is currently argued that </w:t>
      </w:r>
      <w:r w:rsidR="004A36CF">
        <w:t xml:space="preserve">application and traffic information might not always be available </w:t>
      </w:r>
      <w:r w:rsidR="007670B8">
        <w:t xml:space="preserve">or the </w:t>
      </w:r>
      <w:r w:rsidR="00B22BFA">
        <w:t xml:space="preserve">ability of the </w:t>
      </w:r>
      <w:r w:rsidR="007670B8">
        <w:t xml:space="preserve">UE </w:t>
      </w:r>
      <w:r w:rsidR="00B22BFA">
        <w:t xml:space="preserve">to provide the information may </w:t>
      </w:r>
      <w:r w:rsidR="007670B8">
        <w:t xml:space="preserve">depend on factors such as </w:t>
      </w:r>
      <w:r w:rsidR="00257A67">
        <w:t xml:space="preserve">the </w:t>
      </w:r>
      <w:r w:rsidR="0022216D">
        <w:t xml:space="preserve">specific XR </w:t>
      </w:r>
      <w:r w:rsidR="00257A67">
        <w:t>application</w:t>
      </w:r>
      <w:r w:rsidR="007670B8">
        <w:t>,</w:t>
      </w:r>
      <w:r w:rsidR="0022216D">
        <w:t xml:space="preserve"> </w:t>
      </w:r>
      <w:r w:rsidR="007670B8">
        <w:t>the application server</w:t>
      </w:r>
      <w:r w:rsidR="00257A67">
        <w:t xml:space="preserve"> </w:t>
      </w:r>
      <w:r w:rsidR="00696496">
        <w:t>configuration</w:t>
      </w:r>
      <w:r w:rsidR="007670B8">
        <w:t>,</w:t>
      </w:r>
      <w:r w:rsidR="0022216D">
        <w:t xml:space="preserve"> and </w:t>
      </w:r>
      <w:r w:rsidR="007670B8">
        <w:t>the higher layer protocols</w:t>
      </w:r>
      <w:r w:rsidR="000651FA">
        <w:t xml:space="preserve">, versions, </w:t>
      </w:r>
      <w:r w:rsidR="00DA18FA">
        <w:t>configurations,</w:t>
      </w:r>
      <w:r w:rsidR="000651FA">
        <w:t xml:space="preserve"> and extensions. </w:t>
      </w:r>
      <w:r w:rsidR="00CB07CE">
        <w:t xml:space="preserve">Identifying information is, therefore, </w:t>
      </w:r>
      <w:r w:rsidR="005D3BFA">
        <w:t xml:space="preserve">a session-specific </w:t>
      </w:r>
      <w:r w:rsidR="004B2973">
        <w:t>“ability”</w:t>
      </w:r>
      <w:r w:rsidR="009B31E9">
        <w:t xml:space="preserve"> – not capability</w:t>
      </w:r>
      <w:r w:rsidR="005D3BFA">
        <w:t>.</w:t>
      </w:r>
      <w:r w:rsidR="009B31E9">
        <w:t xml:space="preserve"> The question is to ask if whether it is relevant for the network to know if, for the given session, the UE is able to identify PDU Sets, PSI, or other traffic characteristics.</w:t>
      </w:r>
    </w:p>
    <w:p w14:paraId="10B7BF10" w14:textId="1057EE14" w:rsidR="00B57854" w:rsidRDefault="00B57854" w:rsidP="00BB4ADF">
      <w:pPr>
        <w:pStyle w:val="BodyText"/>
        <w:ind w:left="1080"/>
      </w:pPr>
      <w:r>
        <w:t xml:space="preserve">When the UE reports </w:t>
      </w:r>
      <w:r w:rsidR="00D909BB">
        <w:t>the support of a certain</w:t>
      </w:r>
      <w:r>
        <w:t xml:space="preserve"> capabilit</w:t>
      </w:r>
      <w:r w:rsidR="00D909BB">
        <w:t>y</w:t>
      </w:r>
      <w:r>
        <w:t xml:space="preserve"> e.g. PDU Set Discard, the network knows that the UE has the capability of PDU Set Identification. However, for the given session, the UE might or might not be able to identify PDU Sets. In case the UE can identify PDU Sets and the NW </w:t>
      </w:r>
      <w:r w:rsidR="00C01239">
        <w:t>had configured PDU Set Discard</w:t>
      </w:r>
      <w:r>
        <w:t>,</w:t>
      </w:r>
      <w:r w:rsidR="00C01239">
        <w:t xml:space="preserve"> the UE will discard PDU Sets according to the configuration. However, if the UE cannot identify PDU Sets, even if the UE has a configuration, the UE will apply legacy behaviour. </w:t>
      </w:r>
      <w:r w:rsidR="0079652A">
        <w:t xml:space="preserve">The network cannot really know what behaviour the UE is applying as the UE does not provide PDU Set specific information to the network. </w:t>
      </w:r>
    </w:p>
    <w:p w14:paraId="0B9129A6" w14:textId="2CB19F27" w:rsidR="008A2598" w:rsidRDefault="004D08BF" w:rsidP="008A2598">
      <w:pPr>
        <w:pStyle w:val="BodyText"/>
        <w:ind w:left="1080"/>
      </w:pPr>
      <w:r>
        <w:t xml:space="preserve">In conclusion, the network does not need to know if the UE is able in the current session to identify PDU Sets, data bursts, or PSI. </w:t>
      </w:r>
      <w:r w:rsidR="0022563E">
        <w:t xml:space="preserve">Thus, reporting these “abilities” are not needed. </w:t>
      </w:r>
      <w:r w:rsidR="006702FD">
        <w:t xml:space="preserve">When the UE wants to </w:t>
      </w:r>
      <w:r w:rsidR="0022563E">
        <w:t>apply the corresponding features</w:t>
      </w:r>
      <w:r w:rsidR="006702FD">
        <w:t>,</w:t>
      </w:r>
      <w:r w:rsidR="006702FD" w:rsidRPr="006702FD">
        <w:t xml:space="preserve"> </w:t>
      </w:r>
      <w:r w:rsidR="006702FD">
        <w:t>the UE is able to identify information</w:t>
      </w:r>
      <w:r w:rsidR="0022563E">
        <w:t>. Otherwise, the UE will</w:t>
      </w:r>
      <w:r w:rsidR="006702FD">
        <w:t xml:space="preserve"> not report the capability of the corresponding features and instead</w:t>
      </w:r>
      <w:r w:rsidR="0022563E">
        <w:t xml:space="preserve"> </w:t>
      </w:r>
      <w:r w:rsidR="00046B44">
        <w:t xml:space="preserve">apply legacy behaviour. </w:t>
      </w:r>
    </w:p>
    <w:p w14:paraId="5F58BD2C" w14:textId="5118BCC6" w:rsidR="008A2598" w:rsidRDefault="00633557" w:rsidP="00247B61">
      <w:pPr>
        <w:pStyle w:val="BodyText"/>
        <w:ind w:left="1080"/>
      </w:pPr>
      <w:r>
        <w:t xml:space="preserve">On the other hand, there are 3 other </w:t>
      </w:r>
      <w:r w:rsidR="008A2598">
        <w:t>traffic characteristics i.e. b</w:t>
      </w:r>
      <w:r w:rsidR="008A2598" w:rsidRPr="00F769D9">
        <w:t>urst arrival time</w:t>
      </w:r>
      <w:r w:rsidR="008A2598">
        <w:t xml:space="preserve"> per QoS flow, </w:t>
      </w:r>
      <w:r w:rsidR="008A2598" w:rsidRPr="00F769D9">
        <w:t>UL jitter</w:t>
      </w:r>
      <w:r w:rsidR="008A2598">
        <w:t xml:space="preserve"> per QoS flow</w:t>
      </w:r>
      <w:r w:rsidR="008A2598" w:rsidRPr="00A568B6">
        <w:t xml:space="preserve">, and </w:t>
      </w:r>
      <w:r w:rsidR="00440F11" w:rsidRPr="00A568B6">
        <w:t>p</w:t>
      </w:r>
      <w:r w:rsidR="008A2598" w:rsidRPr="00A568B6">
        <w:t>eriodicity</w:t>
      </w:r>
      <w:r w:rsidR="008A2598">
        <w:t xml:space="preserve"> per QoS flow</w:t>
      </w:r>
      <w:r w:rsidR="0047374F">
        <w:t xml:space="preserve"> which values can serve as an input to </w:t>
      </w:r>
      <w:r w:rsidR="00744DD2">
        <w:t xml:space="preserve">set the appropriate parameters for a number of features. </w:t>
      </w:r>
      <w:r w:rsidR="00641F72">
        <w:t>In this case, reporting the values is relevant when this is request</w:t>
      </w:r>
      <w:r w:rsidR="00B717FA">
        <w:t>ed</w:t>
      </w:r>
      <w:r w:rsidR="00641F72">
        <w:t xml:space="preserve"> by the network. </w:t>
      </w:r>
      <w:r w:rsidR="00E93877">
        <w:t>The network does not need to know which of the</w:t>
      </w:r>
      <w:r w:rsidR="00913DBD">
        <w:t xml:space="preserve">se characteristics the UE </w:t>
      </w:r>
      <w:r w:rsidR="00415B36">
        <w:t xml:space="preserve">has the “ability” to </w:t>
      </w:r>
      <w:r w:rsidR="00B60A85">
        <w:t xml:space="preserve">calculate. However, the UE could indicate one capability for these 3 traffic characteristics. </w:t>
      </w:r>
      <w:r w:rsidR="009C57BA">
        <w:t>When the NW requests the UE to report, the UE will add the information that</w:t>
      </w:r>
      <w:r w:rsidR="00534508">
        <w:t xml:space="preserve"> the UE has acquired. </w:t>
      </w:r>
    </w:p>
    <w:p w14:paraId="3D0EE3FA" w14:textId="6C620823" w:rsidR="00B717FA" w:rsidRDefault="00B717FA" w:rsidP="00247B61">
      <w:pPr>
        <w:pStyle w:val="BodyText"/>
        <w:ind w:left="1080"/>
      </w:pPr>
      <w:r>
        <w:t xml:space="preserve">There is also a discussion whether XR-awareness capability is varying depending on application changes. This argument may justify the dynamic change of capability bits to inform a network the update of UE capabilities. Although some of XR-awareness capabilities may be dependent on applications, it is also argued that changing the capability bits requires a network to reconfigure all parameters of corresponding features. In addition, there was an agreement from </w:t>
      </w:r>
      <w:r w:rsidR="00E6215C">
        <w:fldChar w:fldCharType="begin"/>
      </w:r>
      <w:r w:rsidR="00E6215C">
        <w:instrText xml:space="preserve"> REF _Ref149121921 \r \h </w:instrText>
      </w:r>
      <w:r w:rsidR="00E6215C">
        <w:fldChar w:fldCharType="separate"/>
      </w:r>
      <w:r w:rsidR="00E6215C">
        <w:t>[3]</w:t>
      </w:r>
      <w:r w:rsidR="00E6215C">
        <w:fldChar w:fldCharType="end"/>
      </w:r>
      <w:r>
        <w:t xml:space="preserve"> that a UE cannot reject the network XR configuration although capabilities are not supported by the UE so that change of the UE capabilities would not be so meaningful. </w:t>
      </w:r>
    </w:p>
    <w:p w14:paraId="6BB09F79" w14:textId="6A5E25E9" w:rsidR="007F33AB" w:rsidRDefault="007F33AB" w:rsidP="00D6616B">
      <w:pPr>
        <w:pStyle w:val="BodyText"/>
        <w:ind w:left="1080"/>
      </w:pPr>
    </w:p>
    <w:p w14:paraId="4C386781" w14:textId="03D7E214" w:rsidR="002A5B08" w:rsidRDefault="00BE25F6" w:rsidP="002A5B08">
      <w:pPr>
        <w:pStyle w:val="Proposal"/>
      </w:pPr>
      <w:bookmarkStart w:id="8" w:name="_Toc149865861"/>
      <w:r>
        <w:t>For XR awareness:</w:t>
      </w:r>
      <w:r>
        <w:br/>
        <w:t>- PDU Set, data bu</w:t>
      </w:r>
      <w:r w:rsidR="002A5B08">
        <w:t>r</w:t>
      </w:r>
      <w:r>
        <w:t>st, and PSI identification don’t need capability bits.</w:t>
      </w:r>
      <w:r w:rsidR="002A5B08">
        <w:br/>
        <w:t>- PDU Set, data burst, and PSI identification are not included in the assistance information</w:t>
      </w:r>
      <w:r w:rsidR="00F01269">
        <w:t>.</w:t>
      </w:r>
      <w:bookmarkEnd w:id="8"/>
    </w:p>
    <w:p w14:paraId="0CFCCD39" w14:textId="3533540A" w:rsidR="006E231B" w:rsidRDefault="00E55931" w:rsidP="006E231B">
      <w:pPr>
        <w:pStyle w:val="Proposal"/>
      </w:pPr>
      <w:bookmarkStart w:id="9" w:name="_Toc149865862"/>
      <w:r>
        <w:t>For XR awareness:</w:t>
      </w:r>
      <w:r>
        <w:br/>
        <w:t>- Burst arrival time per QoS flow, UL jitter per QoS flow, and Periodicity per QoS flow, one capability bit is introduced.</w:t>
      </w:r>
      <w:r w:rsidR="00E6215C">
        <w:br/>
      </w:r>
      <w:r w:rsidR="006E231B">
        <w:t>- No need to differentiate the support between TDD/FDD and FR1/FR2.</w:t>
      </w:r>
      <w:bookmarkEnd w:id="9"/>
    </w:p>
    <w:p w14:paraId="2A9B2E92" w14:textId="4BFB7665" w:rsidR="00D31D5B" w:rsidRDefault="003A19F9" w:rsidP="00544222">
      <w:pPr>
        <w:pStyle w:val="Proposal"/>
      </w:pPr>
      <w:bookmarkStart w:id="10" w:name="_Toc149121968"/>
      <w:bookmarkStart w:id="11" w:name="_Toc149865863"/>
      <w:bookmarkEnd w:id="10"/>
      <w:r>
        <w:t xml:space="preserve">Burst arrival time per QoS flow, UL jitter per QoS flow, and Periodicity per QoS flow </w:t>
      </w:r>
      <w:r w:rsidR="004D3856">
        <w:t>values</w:t>
      </w:r>
      <w:r w:rsidR="00544222">
        <w:t xml:space="preserve">, </w:t>
      </w:r>
      <w:r w:rsidR="004D3856">
        <w:t>can</w:t>
      </w:r>
      <w:r>
        <w:t xml:space="preserve"> be </w:t>
      </w:r>
      <w:r w:rsidR="004D3856">
        <w:t>reported</w:t>
      </w:r>
      <w:r>
        <w:t xml:space="preserve"> in the </w:t>
      </w:r>
      <w:r w:rsidR="00726C24">
        <w:t xml:space="preserve">assistance information </w:t>
      </w:r>
      <w:r w:rsidR="00F01269">
        <w:t>when requested by the network.</w:t>
      </w:r>
      <w:bookmarkEnd w:id="11"/>
    </w:p>
    <w:p w14:paraId="23A49886" w14:textId="494A24D1" w:rsidR="006A1BFD" w:rsidRDefault="006A1BFD" w:rsidP="00247B61">
      <w:pPr>
        <w:pStyle w:val="Proposal"/>
        <w:numPr>
          <w:ilvl w:val="0"/>
          <w:numId w:val="0"/>
        </w:numPr>
      </w:pPr>
    </w:p>
    <w:p w14:paraId="7268F25F" w14:textId="6A5FAF0A" w:rsidR="00007882" w:rsidRDefault="00B95700" w:rsidP="00247B61">
      <w:pPr>
        <w:pStyle w:val="BodyText"/>
        <w:numPr>
          <w:ilvl w:val="0"/>
          <w:numId w:val="32"/>
        </w:numPr>
      </w:pPr>
      <w:r>
        <w:t>Others</w:t>
      </w:r>
      <w:r w:rsidR="00745F50">
        <w:br/>
      </w:r>
    </w:p>
    <w:p w14:paraId="0466F9DA" w14:textId="526BA7F9" w:rsidR="00FF5247" w:rsidRDefault="00745F50" w:rsidP="007E3FB0">
      <w:pPr>
        <w:pStyle w:val="BodyText"/>
        <w:numPr>
          <w:ilvl w:val="1"/>
          <w:numId w:val="32"/>
        </w:numPr>
      </w:pPr>
      <w:r>
        <w:t>Retransmission-less CG</w:t>
      </w:r>
      <w:r>
        <w:br/>
      </w:r>
      <w:r w:rsidR="007B399E">
        <w:t>This is an independent feature in Release 18. This feature should be indicated as a capability.</w:t>
      </w:r>
      <w:r w:rsidR="00CA5440">
        <w:t xml:space="preserve"> However, this feature should not be indicated unless the UE indicates the support of CG</w:t>
      </w:r>
      <w:r w:rsidR="00FF5247">
        <w:t>.</w:t>
      </w:r>
    </w:p>
    <w:p w14:paraId="01ECA8B8" w14:textId="29663196" w:rsidR="00077B9D" w:rsidRDefault="00077B9D" w:rsidP="001B0D8C">
      <w:pPr>
        <w:pStyle w:val="BodyText"/>
        <w:ind w:left="720"/>
      </w:pPr>
      <w:r>
        <w:t>.</w:t>
      </w:r>
    </w:p>
    <w:p w14:paraId="3DE4BB8F" w14:textId="21B93AE2" w:rsidR="00126754" w:rsidRDefault="00126754" w:rsidP="00737D37">
      <w:pPr>
        <w:pStyle w:val="Proposal"/>
      </w:pPr>
      <w:bookmarkStart w:id="12" w:name="_Toc149865864"/>
      <w:r>
        <w:t xml:space="preserve">For </w:t>
      </w:r>
      <w:r w:rsidR="00147BD8">
        <w:t>retransmission-less CG</w:t>
      </w:r>
      <w:r>
        <w:t>:</w:t>
      </w:r>
      <w:r>
        <w:br/>
        <w:t xml:space="preserve">- </w:t>
      </w:r>
      <w:r w:rsidR="00425D1E">
        <w:t>A capability indication is defined</w:t>
      </w:r>
      <w:r>
        <w:br/>
        <w:t>- No need to differentiate the support between TDD/FDD and FR1/FR2.</w:t>
      </w:r>
      <w:bookmarkEnd w:id="12"/>
    </w:p>
    <w:p w14:paraId="56E9A3E4" w14:textId="77777777" w:rsidR="00B745B8" w:rsidRPr="008D00A5" w:rsidRDefault="00B745B8" w:rsidP="001B0D8C">
      <w:pPr>
        <w:pStyle w:val="BodyText"/>
        <w:ind w:left="720"/>
      </w:pPr>
    </w:p>
    <w:p w14:paraId="20D74898" w14:textId="77777777" w:rsidR="00C01F33" w:rsidRPr="00CE0424" w:rsidRDefault="00C01F33" w:rsidP="00CE0424">
      <w:pPr>
        <w:pStyle w:val="Heading1"/>
      </w:pPr>
      <w:r w:rsidRPr="00CE0424">
        <w:lastRenderedPageBreak/>
        <w:t>Conclusion</w:t>
      </w:r>
    </w:p>
    <w:p w14:paraId="7570C759" w14:textId="263985B9" w:rsidR="006E1C82" w:rsidRDefault="006E1C82" w:rsidP="008E065E">
      <w:pPr>
        <w:pStyle w:val="BodyText"/>
        <w:rPr>
          <w:b/>
          <w:bCs/>
        </w:rPr>
      </w:pP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AFFBC8" w14:textId="4BB0C069" w:rsidR="00CA2F1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65855" w:history="1">
        <w:r w:rsidR="00CA2F1B" w:rsidRPr="00537812">
          <w:rPr>
            <w:rStyle w:val="Hyperlink"/>
            <w:noProof/>
          </w:rPr>
          <w:t>Proposal 1</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All Release 18 RAN2 XR-related capabilities are optional.</w:t>
        </w:r>
      </w:hyperlink>
    </w:p>
    <w:p w14:paraId="465AF967" w14:textId="613613D1"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56" w:history="1">
        <w:r w:rsidR="00CA2F1B" w:rsidRPr="00537812">
          <w:rPr>
            <w:rStyle w:val="Hyperlink"/>
            <w:noProof/>
          </w:rPr>
          <w:t>Proposal 2</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Accurate BSR reporting: - A capability indication is defined. - No need to differentiate the support between TDD/FDD and FR1/FR2.</w:t>
        </w:r>
      </w:hyperlink>
    </w:p>
    <w:p w14:paraId="2B1EC4C7" w14:textId="77751F74"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57" w:history="1">
        <w:r w:rsidR="00CA2F1B" w:rsidRPr="00537812">
          <w:rPr>
            <w:rStyle w:val="Hyperlink"/>
            <w:noProof/>
          </w:rPr>
          <w:t>Proposal 3</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Delay Status Reporting: - A capability indication is defined.  - No need to differentiate the support between TDD/FDD and FR1/FR2.</w:t>
        </w:r>
      </w:hyperlink>
    </w:p>
    <w:p w14:paraId="566FD065" w14:textId="5CC9E43B"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58" w:history="1">
        <w:r w:rsidR="00CA2F1B" w:rsidRPr="00537812">
          <w:rPr>
            <w:rStyle w:val="Hyperlink"/>
            <w:noProof/>
          </w:rPr>
          <w:t>Proposal 4</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For PDU Set Discard: - A capability indication is defined. - If this is indicated, the UE is capable of PDU Set Identification. - No need to differentiate the support between TDD/FDD and FR1/FR2.</w:t>
        </w:r>
      </w:hyperlink>
    </w:p>
    <w:p w14:paraId="1A9AA52F" w14:textId="2EE2B6EC"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59" w:history="1">
        <w:r w:rsidR="00CA2F1B" w:rsidRPr="00537812">
          <w:rPr>
            <w:rStyle w:val="Hyperlink"/>
            <w:noProof/>
          </w:rPr>
          <w:t>Proposal 5</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For PSI-based PDU Set Discard: - A capability indication is defined - If this bit is set, the UE is capable of PDU Set Discard, PDU Set Identification, and PSI identification. - No need to differentiate the support between TDD/FDD and FR1/FR2.</w:t>
        </w:r>
      </w:hyperlink>
    </w:p>
    <w:p w14:paraId="39BFC488" w14:textId="1A83C45E"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60" w:history="1">
        <w:r w:rsidR="00CA2F1B" w:rsidRPr="00537812">
          <w:rPr>
            <w:rStyle w:val="Hyperlink"/>
            <w:noProof/>
          </w:rPr>
          <w:t>Proposal 6</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For DRX enhancements: - Support of non-integer periodicities and SFN wrap-around feature have their own capability indications for each of them. - No need to differentiate the support between TDD/FDD and FR1/FR2.</w:t>
        </w:r>
      </w:hyperlink>
    </w:p>
    <w:p w14:paraId="0CE361B0" w14:textId="43884D2B"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61" w:history="1">
        <w:r w:rsidR="00CA2F1B" w:rsidRPr="00537812">
          <w:rPr>
            <w:rStyle w:val="Hyperlink"/>
            <w:noProof/>
          </w:rPr>
          <w:t>Proposal 7</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For XR awareness: - PDU Set, data burst, and PSI identification don’t need capability bits. - PDU Set, data burst, and PSI identification are not included in the assistance information.</w:t>
        </w:r>
      </w:hyperlink>
    </w:p>
    <w:p w14:paraId="0A274CF8" w14:textId="661DABB0"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62" w:history="1">
        <w:r w:rsidR="00CA2F1B" w:rsidRPr="00537812">
          <w:rPr>
            <w:rStyle w:val="Hyperlink"/>
            <w:noProof/>
          </w:rPr>
          <w:t>Proposal 8</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For XR awareness: - Burst arrival time per QoS flow, UL jitter per QoS flow, and Periodicity per QoS flow, one capability bit is introduced. - No need to differentiate the support between TDD/FDD and FR1/FR2.</w:t>
        </w:r>
      </w:hyperlink>
    </w:p>
    <w:p w14:paraId="20C08A22" w14:textId="75A9AD9B"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63" w:history="1">
        <w:r w:rsidR="00CA2F1B" w:rsidRPr="00537812">
          <w:rPr>
            <w:rStyle w:val="Hyperlink"/>
            <w:noProof/>
          </w:rPr>
          <w:t>Proposal 9</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Burst arrival time per QoS flow, UL jitter per QoS flow, and Periodicity per QoS flow values, can be reported in the assistance information when requested by the network.</w:t>
        </w:r>
      </w:hyperlink>
    </w:p>
    <w:p w14:paraId="157FEB22" w14:textId="123635FF" w:rsidR="00CA2F1B" w:rsidRDefault="00FF24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864" w:history="1">
        <w:r w:rsidR="00CA2F1B" w:rsidRPr="00537812">
          <w:rPr>
            <w:rStyle w:val="Hyperlink"/>
            <w:noProof/>
          </w:rPr>
          <w:t>Proposal 10</w:t>
        </w:r>
        <w:r w:rsidR="00CA2F1B">
          <w:rPr>
            <w:rFonts w:asciiTheme="minorHAnsi" w:eastAsiaTheme="minorEastAsia" w:hAnsiTheme="minorHAnsi" w:cstheme="minorBidi"/>
            <w:b w:val="0"/>
            <w:noProof/>
            <w:sz w:val="22"/>
            <w:szCs w:val="22"/>
            <w:lang w:val="en-SE" w:eastAsia="en-SE"/>
          </w:rPr>
          <w:tab/>
        </w:r>
        <w:r w:rsidR="00CA2F1B" w:rsidRPr="00537812">
          <w:rPr>
            <w:rStyle w:val="Hyperlink"/>
            <w:noProof/>
          </w:rPr>
          <w:t>For retransmission-less CG: - A capability indication is defined - No need to differentiate the support between TDD/FDD and FR1/FR2.</w:t>
        </w:r>
      </w:hyperlink>
    </w:p>
    <w:p w14:paraId="64F3E645" w14:textId="676C3457" w:rsidR="00C01F33" w:rsidRPr="00CE0424" w:rsidRDefault="006E1C82" w:rsidP="001B0D8C">
      <w:pPr>
        <w:pStyle w:val="BodyText"/>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13" w:name="_In-sequence_SDU_delivery"/>
      <w:bookmarkEnd w:id="13"/>
      <w:r w:rsidRPr="00CE0424">
        <w:t>References</w:t>
      </w:r>
    </w:p>
    <w:p w14:paraId="75A2579A" w14:textId="716498C7" w:rsidR="00CE706A" w:rsidRDefault="001B0D8C" w:rsidP="00CE0424">
      <w:pPr>
        <w:pStyle w:val="Reference"/>
      </w:pPr>
      <w:bookmarkStart w:id="14" w:name="_Ref174151459"/>
      <w:bookmarkStart w:id="15" w:name="_Ref189809556"/>
      <w:r w:rsidRPr="00FB1113">
        <w:t>R1-2306608</w:t>
      </w:r>
      <w:r>
        <w:t xml:space="preserve">, </w:t>
      </w:r>
      <w:r w:rsidRPr="002B06D6">
        <w:t>On UE features for XR Enhancements</w:t>
      </w:r>
      <w:r w:rsidR="000A30A3">
        <w:t>. Ericsson.</w:t>
      </w:r>
      <w:bookmarkEnd w:id="14"/>
      <w:bookmarkEnd w:id="15"/>
      <w:r w:rsidR="00850B7D">
        <w:t xml:space="preserve">  </w:t>
      </w:r>
    </w:p>
    <w:p w14:paraId="3B4607B9" w14:textId="23322E9A" w:rsidR="00E6215C" w:rsidRDefault="00E6215C" w:rsidP="00CE0424">
      <w:pPr>
        <w:pStyle w:val="Reference"/>
      </w:pPr>
      <w:bookmarkStart w:id="16" w:name="_Ref149121935"/>
      <w:r w:rsidRPr="00A9763D">
        <w:t>R2-2310148, Summary on UE Capabilities for Rel-18 XR WI, Intel Corporation</w:t>
      </w:r>
      <w:bookmarkEnd w:id="16"/>
      <w:r>
        <w:t xml:space="preserve"> et al.</w:t>
      </w:r>
    </w:p>
    <w:p w14:paraId="55415568" w14:textId="59FFC7E9" w:rsidR="00E6215C" w:rsidRDefault="00E6215C" w:rsidP="00E6215C">
      <w:pPr>
        <w:pStyle w:val="Reference"/>
      </w:pPr>
      <w:bookmarkStart w:id="17" w:name="_Ref149121921"/>
      <w:r>
        <w:t>Chair notes for RAN2#123bis, RAN2 Chair (InterDigital)</w:t>
      </w:r>
      <w:bookmarkEnd w:id="17"/>
    </w:p>
    <w:p w14:paraId="73365906" w14:textId="77777777" w:rsidR="00E6215C" w:rsidRPr="00CE0424" w:rsidRDefault="00E6215C" w:rsidP="00A9763D">
      <w:pPr>
        <w:pStyle w:val="Reference"/>
        <w:numPr>
          <w:ilvl w:val="0"/>
          <w:numId w:val="0"/>
        </w:numPr>
        <w:ind w:left="567"/>
      </w:pPr>
    </w:p>
    <w:sectPr w:rsidR="00E6215C"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2427" w14:textId="77777777" w:rsidR="00325B83" w:rsidRDefault="00325B83">
      <w:r>
        <w:separator/>
      </w:r>
    </w:p>
  </w:endnote>
  <w:endnote w:type="continuationSeparator" w:id="0">
    <w:p w14:paraId="3A6A7204" w14:textId="77777777" w:rsidR="00325B83" w:rsidRDefault="00325B83">
      <w:r>
        <w:continuationSeparator/>
      </w:r>
    </w:p>
  </w:endnote>
  <w:endnote w:type="continuationNotice" w:id="1">
    <w:p w14:paraId="70379300" w14:textId="77777777" w:rsidR="00325B83" w:rsidRDefault="00325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024B" w14:textId="77777777" w:rsidR="00325B83" w:rsidRDefault="00325B83">
      <w:r>
        <w:separator/>
      </w:r>
    </w:p>
  </w:footnote>
  <w:footnote w:type="continuationSeparator" w:id="0">
    <w:p w14:paraId="41B6039C" w14:textId="77777777" w:rsidR="00325B83" w:rsidRDefault="00325B83">
      <w:r>
        <w:continuationSeparator/>
      </w:r>
    </w:p>
  </w:footnote>
  <w:footnote w:type="continuationNotice" w:id="1">
    <w:p w14:paraId="0D863A72" w14:textId="77777777" w:rsidR="00325B83" w:rsidRDefault="00325B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D855D6"/>
    <w:multiLevelType w:val="hybridMultilevel"/>
    <w:tmpl w:val="A04CF0F0"/>
    <w:lvl w:ilvl="0" w:tplc="CA98D9DE">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CFCEA216"/>
    <w:lvl w:ilvl="0" w:tplc="9C62FD9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F19E2"/>
    <w:multiLevelType w:val="hybridMultilevel"/>
    <w:tmpl w:val="692C477E"/>
    <w:lvl w:ilvl="0" w:tplc="1E08926A">
      <w:start w:val="1"/>
      <w:numFmt w:val="bullet"/>
      <w:lvlText w:val="●"/>
      <w:lvlJc w:val="left"/>
      <w:pPr>
        <w:tabs>
          <w:tab w:val="num" w:pos="720"/>
        </w:tabs>
        <w:ind w:left="720" w:hanging="360"/>
      </w:pPr>
      <w:rPr>
        <w:rFonts w:ascii="Ericsson Hilda" w:hAnsi="Ericsson Hilda" w:hint="default"/>
      </w:rPr>
    </w:lvl>
    <w:lvl w:ilvl="1" w:tplc="5AFE1B6C" w:tentative="1">
      <w:start w:val="1"/>
      <w:numFmt w:val="bullet"/>
      <w:lvlText w:val="●"/>
      <w:lvlJc w:val="left"/>
      <w:pPr>
        <w:tabs>
          <w:tab w:val="num" w:pos="1440"/>
        </w:tabs>
        <w:ind w:left="1440" w:hanging="360"/>
      </w:pPr>
      <w:rPr>
        <w:rFonts w:ascii="Ericsson Hilda" w:hAnsi="Ericsson Hilda" w:hint="default"/>
      </w:rPr>
    </w:lvl>
    <w:lvl w:ilvl="2" w:tplc="7C8A3716" w:tentative="1">
      <w:start w:val="1"/>
      <w:numFmt w:val="bullet"/>
      <w:lvlText w:val="●"/>
      <w:lvlJc w:val="left"/>
      <w:pPr>
        <w:tabs>
          <w:tab w:val="num" w:pos="2160"/>
        </w:tabs>
        <w:ind w:left="2160" w:hanging="360"/>
      </w:pPr>
      <w:rPr>
        <w:rFonts w:ascii="Ericsson Hilda" w:hAnsi="Ericsson Hilda" w:hint="default"/>
      </w:rPr>
    </w:lvl>
    <w:lvl w:ilvl="3" w:tplc="B644C044" w:tentative="1">
      <w:start w:val="1"/>
      <w:numFmt w:val="bullet"/>
      <w:lvlText w:val="●"/>
      <w:lvlJc w:val="left"/>
      <w:pPr>
        <w:tabs>
          <w:tab w:val="num" w:pos="2880"/>
        </w:tabs>
        <w:ind w:left="2880" w:hanging="360"/>
      </w:pPr>
      <w:rPr>
        <w:rFonts w:ascii="Ericsson Hilda" w:hAnsi="Ericsson Hilda" w:hint="default"/>
      </w:rPr>
    </w:lvl>
    <w:lvl w:ilvl="4" w:tplc="9EF841A6" w:tentative="1">
      <w:start w:val="1"/>
      <w:numFmt w:val="bullet"/>
      <w:lvlText w:val="●"/>
      <w:lvlJc w:val="left"/>
      <w:pPr>
        <w:tabs>
          <w:tab w:val="num" w:pos="3600"/>
        </w:tabs>
        <w:ind w:left="3600" w:hanging="360"/>
      </w:pPr>
      <w:rPr>
        <w:rFonts w:ascii="Ericsson Hilda" w:hAnsi="Ericsson Hilda" w:hint="default"/>
      </w:rPr>
    </w:lvl>
    <w:lvl w:ilvl="5" w:tplc="0DAE2150" w:tentative="1">
      <w:start w:val="1"/>
      <w:numFmt w:val="bullet"/>
      <w:lvlText w:val="●"/>
      <w:lvlJc w:val="left"/>
      <w:pPr>
        <w:tabs>
          <w:tab w:val="num" w:pos="4320"/>
        </w:tabs>
        <w:ind w:left="4320" w:hanging="360"/>
      </w:pPr>
      <w:rPr>
        <w:rFonts w:ascii="Ericsson Hilda" w:hAnsi="Ericsson Hilda" w:hint="default"/>
      </w:rPr>
    </w:lvl>
    <w:lvl w:ilvl="6" w:tplc="632602B2" w:tentative="1">
      <w:start w:val="1"/>
      <w:numFmt w:val="bullet"/>
      <w:lvlText w:val="●"/>
      <w:lvlJc w:val="left"/>
      <w:pPr>
        <w:tabs>
          <w:tab w:val="num" w:pos="5040"/>
        </w:tabs>
        <w:ind w:left="5040" w:hanging="360"/>
      </w:pPr>
      <w:rPr>
        <w:rFonts w:ascii="Ericsson Hilda" w:hAnsi="Ericsson Hilda" w:hint="default"/>
      </w:rPr>
    </w:lvl>
    <w:lvl w:ilvl="7" w:tplc="B6A420EC" w:tentative="1">
      <w:start w:val="1"/>
      <w:numFmt w:val="bullet"/>
      <w:lvlText w:val="●"/>
      <w:lvlJc w:val="left"/>
      <w:pPr>
        <w:tabs>
          <w:tab w:val="num" w:pos="5760"/>
        </w:tabs>
        <w:ind w:left="5760" w:hanging="360"/>
      </w:pPr>
      <w:rPr>
        <w:rFonts w:ascii="Ericsson Hilda" w:hAnsi="Ericsson Hilda" w:hint="default"/>
      </w:rPr>
    </w:lvl>
    <w:lvl w:ilvl="8" w:tplc="7CFE96F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22FEA"/>
    <w:multiLevelType w:val="hybridMultilevel"/>
    <w:tmpl w:val="E1061E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CA1E2C"/>
    <w:multiLevelType w:val="hybridMultilevel"/>
    <w:tmpl w:val="42529E9A"/>
    <w:lvl w:ilvl="0" w:tplc="F9BAE3E4">
      <w:start w:val="2"/>
      <w:numFmt w:val="bullet"/>
      <w:lvlText w:val=""/>
      <w:lvlJc w:val="left"/>
      <w:pPr>
        <w:ind w:left="927" w:hanging="360"/>
      </w:pPr>
      <w:rPr>
        <w:rFonts w:ascii="Wingdings" w:eastAsia="Times New Roman"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BA6F1A"/>
    <w:multiLevelType w:val="hybridMultilevel"/>
    <w:tmpl w:val="2B0E2EEA"/>
    <w:lvl w:ilvl="0" w:tplc="CA98D9D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D85C9F"/>
    <w:multiLevelType w:val="hybridMultilevel"/>
    <w:tmpl w:val="EFF2D1E0"/>
    <w:lvl w:ilvl="0" w:tplc="2000000B">
      <w:start w:val="2"/>
      <w:numFmt w:val="bullet"/>
      <w:lvlText w:val=""/>
      <w:lvlJc w:val="left"/>
      <w:pPr>
        <w:ind w:left="1080" w:hanging="360"/>
      </w:pPr>
      <w:rPr>
        <w:rFonts w:ascii="Wingdings" w:eastAsia="Times New Roman" w:hAnsi="Wingdings"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0"/>
  </w:num>
  <w:num w:numId="3" w16cid:durableId="1044866941">
    <w:abstractNumId w:val="15"/>
  </w:num>
  <w:num w:numId="4" w16cid:durableId="1231427303">
    <w:abstractNumId w:val="17"/>
  </w:num>
  <w:num w:numId="5" w16cid:durableId="1072850479">
    <w:abstractNumId w:val="11"/>
  </w:num>
  <w:num w:numId="6" w16cid:durableId="394863115">
    <w:abstractNumId w:val="19"/>
  </w:num>
  <w:num w:numId="7" w16cid:durableId="390274823">
    <w:abstractNumId w:val="24"/>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8"/>
  </w:num>
  <w:num w:numId="16" w16cid:durableId="1310598948">
    <w:abstractNumId w:val="27"/>
  </w:num>
  <w:num w:numId="17" w16cid:durableId="1740782811">
    <w:abstractNumId w:val="6"/>
  </w:num>
  <w:num w:numId="18" w16cid:durableId="1461649906">
    <w:abstractNumId w:val="7"/>
  </w:num>
  <w:num w:numId="19" w16cid:durableId="1006636967">
    <w:abstractNumId w:val="5"/>
  </w:num>
  <w:num w:numId="20" w16cid:durableId="1415129450">
    <w:abstractNumId w:val="32"/>
  </w:num>
  <w:num w:numId="21" w16cid:durableId="302731420">
    <w:abstractNumId w:val="13"/>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5"/>
  </w:num>
  <w:num w:numId="26" w16cid:durableId="723338061">
    <w:abstractNumId w:val="8"/>
  </w:num>
  <w:num w:numId="27" w16cid:durableId="501316963">
    <w:abstractNumId w:val="10"/>
  </w:num>
  <w:num w:numId="28" w16cid:durableId="914752621">
    <w:abstractNumId w:val="31"/>
  </w:num>
  <w:num w:numId="29" w16cid:durableId="1814833851">
    <w:abstractNumId w:val="28"/>
  </w:num>
  <w:num w:numId="30" w16cid:durableId="450317848">
    <w:abstractNumId w:val="16"/>
  </w:num>
  <w:num w:numId="31" w16cid:durableId="1891115695">
    <w:abstractNumId w:val="26"/>
  </w:num>
  <w:num w:numId="32" w16cid:durableId="1997101170">
    <w:abstractNumId w:val="14"/>
  </w:num>
  <w:num w:numId="33" w16cid:durableId="20399351">
    <w:abstractNumId w:val="30"/>
  </w:num>
  <w:num w:numId="34" w16cid:durableId="2050300754">
    <w:abstractNumId w:val="20"/>
  </w:num>
  <w:num w:numId="35" w16cid:durableId="209192179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DA0"/>
    <w:rsid w:val="00001354"/>
    <w:rsid w:val="00002A37"/>
    <w:rsid w:val="00003644"/>
    <w:rsid w:val="0000564C"/>
    <w:rsid w:val="00006446"/>
    <w:rsid w:val="00006896"/>
    <w:rsid w:val="00007480"/>
    <w:rsid w:val="00007882"/>
    <w:rsid w:val="00007CDC"/>
    <w:rsid w:val="00011B28"/>
    <w:rsid w:val="0001270A"/>
    <w:rsid w:val="00015D15"/>
    <w:rsid w:val="00016AA9"/>
    <w:rsid w:val="00016E5B"/>
    <w:rsid w:val="0002453C"/>
    <w:rsid w:val="00025334"/>
    <w:rsid w:val="0002564D"/>
    <w:rsid w:val="00025ECA"/>
    <w:rsid w:val="00030E6A"/>
    <w:rsid w:val="000325B8"/>
    <w:rsid w:val="00034C15"/>
    <w:rsid w:val="00036BA1"/>
    <w:rsid w:val="00041A27"/>
    <w:rsid w:val="000422E2"/>
    <w:rsid w:val="00042D7C"/>
    <w:rsid w:val="00042F22"/>
    <w:rsid w:val="000431EB"/>
    <w:rsid w:val="000444EF"/>
    <w:rsid w:val="00046536"/>
    <w:rsid w:val="00046B44"/>
    <w:rsid w:val="00047F6B"/>
    <w:rsid w:val="00052116"/>
    <w:rsid w:val="00052A07"/>
    <w:rsid w:val="000534E3"/>
    <w:rsid w:val="000550CE"/>
    <w:rsid w:val="0005545B"/>
    <w:rsid w:val="0005606A"/>
    <w:rsid w:val="0005613A"/>
    <w:rsid w:val="00057117"/>
    <w:rsid w:val="00060DBD"/>
    <w:rsid w:val="000616E7"/>
    <w:rsid w:val="0006487E"/>
    <w:rsid w:val="000651FA"/>
    <w:rsid w:val="00065E1A"/>
    <w:rsid w:val="00066E71"/>
    <w:rsid w:val="0006768E"/>
    <w:rsid w:val="000708BC"/>
    <w:rsid w:val="00074771"/>
    <w:rsid w:val="0007728D"/>
    <w:rsid w:val="00077B9D"/>
    <w:rsid w:val="00077E5F"/>
    <w:rsid w:val="0008036A"/>
    <w:rsid w:val="00081AE6"/>
    <w:rsid w:val="000845CF"/>
    <w:rsid w:val="000855EB"/>
    <w:rsid w:val="00085B52"/>
    <w:rsid w:val="000866F2"/>
    <w:rsid w:val="0009009F"/>
    <w:rsid w:val="000907F4"/>
    <w:rsid w:val="00091557"/>
    <w:rsid w:val="000924C1"/>
    <w:rsid w:val="000924F0"/>
    <w:rsid w:val="00093474"/>
    <w:rsid w:val="0009510F"/>
    <w:rsid w:val="0009540D"/>
    <w:rsid w:val="000A0201"/>
    <w:rsid w:val="000A1676"/>
    <w:rsid w:val="000A1796"/>
    <w:rsid w:val="000A1B7B"/>
    <w:rsid w:val="000A30A3"/>
    <w:rsid w:val="000A56F2"/>
    <w:rsid w:val="000B24B7"/>
    <w:rsid w:val="000B2719"/>
    <w:rsid w:val="000B2FFD"/>
    <w:rsid w:val="000B3A8F"/>
    <w:rsid w:val="000B4AB9"/>
    <w:rsid w:val="000B58C3"/>
    <w:rsid w:val="000B61E9"/>
    <w:rsid w:val="000B6502"/>
    <w:rsid w:val="000B75A8"/>
    <w:rsid w:val="000B7C29"/>
    <w:rsid w:val="000C01FE"/>
    <w:rsid w:val="000C165A"/>
    <w:rsid w:val="000C2E19"/>
    <w:rsid w:val="000C4F27"/>
    <w:rsid w:val="000C5790"/>
    <w:rsid w:val="000C7A43"/>
    <w:rsid w:val="000D0D07"/>
    <w:rsid w:val="000D4797"/>
    <w:rsid w:val="000E0527"/>
    <w:rsid w:val="000E074D"/>
    <w:rsid w:val="000E0C95"/>
    <w:rsid w:val="000E1E92"/>
    <w:rsid w:val="000F0005"/>
    <w:rsid w:val="000F06D6"/>
    <w:rsid w:val="000F0EB1"/>
    <w:rsid w:val="000F1106"/>
    <w:rsid w:val="000F22CE"/>
    <w:rsid w:val="000F3460"/>
    <w:rsid w:val="000F3BE9"/>
    <w:rsid w:val="000F3F6C"/>
    <w:rsid w:val="000F6DF3"/>
    <w:rsid w:val="001005FF"/>
    <w:rsid w:val="001015A0"/>
    <w:rsid w:val="001062FB"/>
    <w:rsid w:val="001063E6"/>
    <w:rsid w:val="00107A98"/>
    <w:rsid w:val="0011125D"/>
    <w:rsid w:val="00113CF4"/>
    <w:rsid w:val="00114E22"/>
    <w:rsid w:val="001153EA"/>
    <w:rsid w:val="00115643"/>
    <w:rsid w:val="00116765"/>
    <w:rsid w:val="00117CF4"/>
    <w:rsid w:val="001219F5"/>
    <w:rsid w:val="00121A20"/>
    <w:rsid w:val="00122FB7"/>
    <w:rsid w:val="0012377F"/>
    <w:rsid w:val="00124314"/>
    <w:rsid w:val="00124933"/>
    <w:rsid w:val="0012545E"/>
    <w:rsid w:val="00126754"/>
    <w:rsid w:val="00126B4A"/>
    <w:rsid w:val="00131CC9"/>
    <w:rsid w:val="00132FD0"/>
    <w:rsid w:val="001344C0"/>
    <w:rsid w:val="001346FA"/>
    <w:rsid w:val="00135252"/>
    <w:rsid w:val="00135580"/>
    <w:rsid w:val="00136750"/>
    <w:rsid w:val="00137AB5"/>
    <w:rsid w:val="00137F0B"/>
    <w:rsid w:val="00140C94"/>
    <w:rsid w:val="00144B26"/>
    <w:rsid w:val="00147BD8"/>
    <w:rsid w:val="00151E23"/>
    <w:rsid w:val="001526E0"/>
    <w:rsid w:val="001551B5"/>
    <w:rsid w:val="00165975"/>
    <w:rsid w:val="001659C1"/>
    <w:rsid w:val="00173A8E"/>
    <w:rsid w:val="0017502C"/>
    <w:rsid w:val="00177393"/>
    <w:rsid w:val="001802FE"/>
    <w:rsid w:val="0018143F"/>
    <w:rsid w:val="00181FF8"/>
    <w:rsid w:val="00182D80"/>
    <w:rsid w:val="00187F6E"/>
    <w:rsid w:val="00190AC1"/>
    <w:rsid w:val="0019341A"/>
    <w:rsid w:val="00196869"/>
    <w:rsid w:val="001979F8"/>
    <w:rsid w:val="00197DF9"/>
    <w:rsid w:val="001A1987"/>
    <w:rsid w:val="001A2564"/>
    <w:rsid w:val="001A6173"/>
    <w:rsid w:val="001A6CBA"/>
    <w:rsid w:val="001A7463"/>
    <w:rsid w:val="001B0D8C"/>
    <w:rsid w:val="001B0D97"/>
    <w:rsid w:val="001B407B"/>
    <w:rsid w:val="001B4B38"/>
    <w:rsid w:val="001B5750"/>
    <w:rsid w:val="001B5A5D"/>
    <w:rsid w:val="001B699F"/>
    <w:rsid w:val="001B798C"/>
    <w:rsid w:val="001B7D26"/>
    <w:rsid w:val="001B7F32"/>
    <w:rsid w:val="001C1CE5"/>
    <w:rsid w:val="001C3176"/>
    <w:rsid w:val="001C39E3"/>
    <w:rsid w:val="001C3D2A"/>
    <w:rsid w:val="001C5CB8"/>
    <w:rsid w:val="001D4F17"/>
    <w:rsid w:val="001D51BA"/>
    <w:rsid w:val="001D53E7"/>
    <w:rsid w:val="001D6342"/>
    <w:rsid w:val="001D6D53"/>
    <w:rsid w:val="001D714C"/>
    <w:rsid w:val="001E58E2"/>
    <w:rsid w:val="001E619E"/>
    <w:rsid w:val="001E7AED"/>
    <w:rsid w:val="001F3056"/>
    <w:rsid w:val="001F3916"/>
    <w:rsid w:val="001F4FD7"/>
    <w:rsid w:val="001F54C5"/>
    <w:rsid w:val="001F662C"/>
    <w:rsid w:val="001F7074"/>
    <w:rsid w:val="00200490"/>
    <w:rsid w:val="00201F3A"/>
    <w:rsid w:val="00203F96"/>
    <w:rsid w:val="002069B2"/>
    <w:rsid w:val="00207FA3"/>
    <w:rsid w:val="0021327A"/>
    <w:rsid w:val="00213C10"/>
    <w:rsid w:val="00214DA8"/>
    <w:rsid w:val="00215423"/>
    <w:rsid w:val="002158FA"/>
    <w:rsid w:val="00217186"/>
    <w:rsid w:val="0021790F"/>
    <w:rsid w:val="00217D18"/>
    <w:rsid w:val="00220600"/>
    <w:rsid w:val="0022216D"/>
    <w:rsid w:val="002224DB"/>
    <w:rsid w:val="00223FCB"/>
    <w:rsid w:val="002252C3"/>
    <w:rsid w:val="0022563E"/>
    <w:rsid w:val="00225C54"/>
    <w:rsid w:val="00230765"/>
    <w:rsid w:val="00230D18"/>
    <w:rsid w:val="002319E4"/>
    <w:rsid w:val="00231D5C"/>
    <w:rsid w:val="00235632"/>
    <w:rsid w:val="00235872"/>
    <w:rsid w:val="0023783A"/>
    <w:rsid w:val="00241559"/>
    <w:rsid w:val="00241ED2"/>
    <w:rsid w:val="00242223"/>
    <w:rsid w:val="002435B3"/>
    <w:rsid w:val="002458EB"/>
    <w:rsid w:val="00247B61"/>
    <w:rsid w:val="002500C8"/>
    <w:rsid w:val="00255685"/>
    <w:rsid w:val="00257543"/>
    <w:rsid w:val="00257A67"/>
    <w:rsid w:val="002617E7"/>
    <w:rsid w:val="00264228"/>
    <w:rsid w:val="00264334"/>
    <w:rsid w:val="0026473E"/>
    <w:rsid w:val="00266214"/>
    <w:rsid w:val="00267902"/>
    <w:rsid w:val="00267C83"/>
    <w:rsid w:val="0027144F"/>
    <w:rsid w:val="00271813"/>
    <w:rsid w:val="00271F3A"/>
    <w:rsid w:val="002730E9"/>
    <w:rsid w:val="00273278"/>
    <w:rsid w:val="002737F4"/>
    <w:rsid w:val="00275577"/>
    <w:rsid w:val="002805F5"/>
    <w:rsid w:val="00280751"/>
    <w:rsid w:val="00280D85"/>
    <w:rsid w:val="0028280A"/>
    <w:rsid w:val="0028328B"/>
    <w:rsid w:val="00283C4B"/>
    <w:rsid w:val="00286ACD"/>
    <w:rsid w:val="00287838"/>
    <w:rsid w:val="002907B5"/>
    <w:rsid w:val="00291D66"/>
    <w:rsid w:val="00292EB7"/>
    <w:rsid w:val="0029608E"/>
    <w:rsid w:val="00296227"/>
    <w:rsid w:val="002962D7"/>
    <w:rsid w:val="002965A3"/>
    <w:rsid w:val="00296F44"/>
    <w:rsid w:val="0029777D"/>
    <w:rsid w:val="002A00B9"/>
    <w:rsid w:val="002A055E"/>
    <w:rsid w:val="002A1B56"/>
    <w:rsid w:val="002A1C32"/>
    <w:rsid w:val="002A1D4E"/>
    <w:rsid w:val="002A2869"/>
    <w:rsid w:val="002A5B08"/>
    <w:rsid w:val="002B06D6"/>
    <w:rsid w:val="002B1515"/>
    <w:rsid w:val="002B24D6"/>
    <w:rsid w:val="002C02AD"/>
    <w:rsid w:val="002C2151"/>
    <w:rsid w:val="002C41E6"/>
    <w:rsid w:val="002C711C"/>
    <w:rsid w:val="002C7DAE"/>
    <w:rsid w:val="002D071A"/>
    <w:rsid w:val="002D34B2"/>
    <w:rsid w:val="002D48B0"/>
    <w:rsid w:val="002D5B37"/>
    <w:rsid w:val="002D7637"/>
    <w:rsid w:val="002E17F2"/>
    <w:rsid w:val="002E5C0C"/>
    <w:rsid w:val="002E7811"/>
    <w:rsid w:val="002E7CAE"/>
    <w:rsid w:val="002F243A"/>
    <w:rsid w:val="002F2771"/>
    <w:rsid w:val="002F37A9"/>
    <w:rsid w:val="002F5EBB"/>
    <w:rsid w:val="003008BF"/>
    <w:rsid w:val="00301186"/>
    <w:rsid w:val="00301CE6"/>
    <w:rsid w:val="0030256B"/>
    <w:rsid w:val="00302772"/>
    <w:rsid w:val="0030501F"/>
    <w:rsid w:val="00305666"/>
    <w:rsid w:val="00307BA1"/>
    <w:rsid w:val="00311702"/>
    <w:rsid w:val="00311E82"/>
    <w:rsid w:val="00313FD6"/>
    <w:rsid w:val="003143BD"/>
    <w:rsid w:val="003151EB"/>
    <w:rsid w:val="00315363"/>
    <w:rsid w:val="00315734"/>
    <w:rsid w:val="003203ED"/>
    <w:rsid w:val="00321E69"/>
    <w:rsid w:val="00322C9F"/>
    <w:rsid w:val="00324D23"/>
    <w:rsid w:val="00325B83"/>
    <w:rsid w:val="0032610E"/>
    <w:rsid w:val="003267B7"/>
    <w:rsid w:val="00331751"/>
    <w:rsid w:val="00334579"/>
    <w:rsid w:val="00335858"/>
    <w:rsid w:val="00336BDA"/>
    <w:rsid w:val="00342BD7"/>
    <w:rsid w:val="003441F9"/>
    <w:rsid w:val="00346DB5"/>
    <w:rsid w:val="003477B1"/>
    <w:rsid w:val="00352C56"/>
    <w:rsid w:val="00355F8B"/>
    <w:rsid w:val="00356F88"/>
    <w:rsid w:val="00357380"/>
    <w:rsid w:val="00357D6F"/>
    <w:rsid w:val="003602D9"/>
    <w:rsid w:val="003604CE"/>
    <w:rsid w:val="00370BF4"/>
    <w:rsid w:val="00370E47"/>
    <w:rsid w:val="0037136F"/>
    <w:rsid w:val="00373958"/>
    <w:rsid w:val="003742AC"/>
    <w:rsid w:val="00375192"/>
    <w:rsid w:val="003757BE"/>
    <w:rsid w:val="00377CE1"/>
    <w:rsid w:val="00385BF0"/>
    <w:rsid w:val="0039325F"/>
    <w:rsid w:val="003939FF"/>
    <w:rsid w:val="0039777E"/>
    <w:rsid w:val="00397DD2"/>
    <w:rsid w:val="003A15D9"/>
    <w:rsid w:val="003A19F9"/>
    <w:rsid w:val="003A2223"/>
    <w:rsid w:val="003A2A0F"/>
    <w:rsid w:val="003A45A1"/>
    <w:rsid w:val="003A5B0A"/>
    <w:rsid w:val="003A6BAC"/>
    <w:rsid w:val="003A70A4"/>
    <w:rsid w:val="003A7EF3"/>
    <w:rsid w:val="003B159C"/>
    <w:rsid w:val="003B369F"/>
    <w:rsid w:val="003B36A3"/>
    <w:rsid w:val="003B3B3F"/>
    <w:rsid w:val="003B64BB"/>
    <w:rsid w:val="003B6E37"/>
    <w:rsid w:val="003B7FE5"/>
    <w:rsid w:val="003C11C8"/>
    <w:rsid w:val="003C2702"/>
    <w:rsid w:val="003C6FB1"/>
    <w:rsid w:val="003C7806"/>
    <w:rsid w:val="003D0927"/>
    <w:rsid w:val="003D109F"/>
    <w:rsid w:val="003D1C4B"/>
    <w:rsid w:val="003D2478"/>
    <w:rsid w:val="003D274D"/>
    <w:rsid w:val="003D3C45"/>
    <w:rsid w:val="003D5B1F"/>
    <w:rsid w:val="003E15FA"/>
    <w:rsid w:val="003E5287"/>
    <w:rsid w:val="003E55E4"/>
    <w:rsid w:val="003E61CA"/>
    <w:rsid w:val="003E74E3"/>
    <w:rsid w:val="003F05C7"/>
    <w:rsid w:val="003F1CE4"/>
    <w:rsid w:val="003F1DC1"/>
    <w:rsid w:val="003F2184"/>
    <w:rsid w:val="003F2CD4"/>
    <w:rsid w:val="003F645B"/>
    <w:rsid w:val="003F6BBE"/>
    <w:rsid w:val="004000E8"/>
    <w:rsid w:val="004028C5"/>
    <w:rsid w:val="00402E2B"/>
    <w:rsid w:val="004048B1"/>
    <w:rsid w:val="0040512B"/>
    <w:rsid w:val="00405B3C"/>
    <w:rsid w:val="00405CA5"/>
    <w:rsid w:val="004060F1"/>
    <w:rsid w:val="00407CD3"/>
    <w:rsid w:val="00410134"/>
    <w:rsid w:val="00410B72"/>
    <w:rsid w:val="00410F18"/>
    <w:rsid w:val="0041263E"/>
    <w:rsid w:val="00413789"/>
    <w:rsid w:val="00413AAC"/>
    <w:rsid w:val="00413E92"/>
    <w:rsid w:val="004158FE"/>
    <w:rsid w:val="00415B36"/>
    <w:rsid w:val="004165A1"/>
    <w:rsid w:val="00420A41"/>
    <w:rsid w:val="00421105"/>
    <w:rsid w:val="00422AA4"/>
    <w:rsid w:val="004242F4"/>
    <w:rsid w:val="00425D1E"/>
    <w:rsid w:val="00427248"/>
    <w:rsid w:val="004353D3"/>
    <w:rsid w:val="00437447"/>
    <w:rsid w:val="00440F11"/>
    <w:rsid w:val="00441A92"/>
    <w:rsid w:val="004431DC"/>
    <w:rsid w:val="00444F56"/>
    <w:rsid w:val="00445DD3"/>
    <w:rsid w:val="00446488"/>
    <w:rsid w:val="0044754B"/>
    <w:rsid w:val="004517AA"/>
    <w:rsid w:val="00451972"/>
    <w:rsid w:val="00452451"/>
    <w:rsid w:val="00452CAC"/>
    <w:rsid w:val="0045597C"/>
    <w:rsid w:val="0045729C"/>
    <w:rsid w:val="00457565"/>
    <w:rsid w:val="00457B71"/>
    <w:rsid w:val="00462C1F"/>
    <w:rsid w:val="004669E2"/>
    <w:rsid w:val="00470C31"/>
    <w:rsid w:val="00471DE0"/>
    <w:rsid w:val="004734D0"/>
    <w:rsid w:val="0047374F"/>
    <w:rsid w:val="0047556B"/>
    <w:rsid w:val="00477768"/>
    <w:rsid w:val="00481E12"/>
    <w:rsid w:val="00487CA9"/>
    <w:rsid w:val="004905C4"/>
    <w:rsid w:val="00492AD8"/>
    <w:rsid w:val="00492BC5"/>
    <w:rsid w:val="004964F1"/>
    <w:rsid w:val="004A16BC"/>
    <w:rsid w:val="004A2525"/>
    <w:rsid w:val="004A2B94"/>
    <w:rsid w:val="004A2EFE"/>
    <w:rsid w:val="004A36CF"/>
    <w:rsid w:val="004A6FBB"/>
    <w:rsid w:val="004B2973"/>
    <w:rsid w:val="004B385B"/>
    <w:rsid w:val="004B4679"/>
    <w:rsid w:val="004B49C4"/>
    <w:rsid w:val="004B573B"/>
    <w:rsid w:val="004B6732"/>
    <w:rsid w:val="004B6A7C"/>
    <w:rsid w:val="004B6F6A"/>
    <w:rsid w:val="004B7C0C"/>
    <w:rsid w:val="004C0B67"/>
    <w:rsid w:val="004C0C54"/>
    <w:rsid w:val="004C3898"/>
    <w:rsid w:val="004C6857"/>
    <w:rsid w:val="004C6C89"/>
    <w:rsid w:val="004D08BF"/>
    <w:rsid w:val="004D35DC"/>
    <w:rsid w:val="004D36B1"/>
    <w:rsid w:val="004D3856"/>
    <w:rsid w:val="004D738D"/>
    <w:rsid w:val="004D7EBD"/>
    <w:rsid w:val="004E11D9"/>
    <w:rsid w:val="004E2680"/>
    <w:rsid w:val="004E28F9"/>
    <w:rsid w:val="004E3171"/>
    <w:rsid w:val="004E462E"/>
    <w:rsid w:val="004E56DC"/>
    <w:rsid w:val="004E5C17"/>
    <w:rsid w:val="004E5CF0"/>
    <w:rsid w:val="004E76F4"/>
    <w:rsid w:val="004E7B1E"/>
    <w:rsid w:val="004F0B4E"/>
    <w:rsid w:val="004F0B6C"/>
    <w:rsid w:val="004F2078"/>
    <w:rsid w:val="004F437D"/>
    <w:rsid w:val="004F4DA3"/>
    <w:rsid w:val="005033CB"/>
    <w:rsid w:val="005040A2"/>
    <w:rsid w:val="00506557"/>
    <w:rsid w:val="0050677A"/>
    <w:rsid w:val="00507078"/>
    <w:rsid w:val="005108D8"/>
    <w:rsid w:val="005116F9"/>
    <w:rsid w:val="00512943"/>
    <w:rsid w:val="005153A7"/>
    <w:rsid w:val="005219CF"/>
    <w:rsid w:val="00532F23"/>
    <w:rsid w:val="005343E0"/>
    <w:rsid w:val="00534508"/>
    <w:rsid w:val="00534B59"/>
    <w:rsid w:val="00536759"/>
    <w:rsid w:val="00537C62"/>
    <w:rsid w:val="00542330"/>
    <w:rsid w:val="005433CE"/>
    <w:rsid w:val="00544222"/>
    <w:rsid w:val="00545B82"/>
    <w:rsid w:val="00546970"/>
    <w:rsid w:val="005515F8"/>
    <w:rsid w:val="00553FAD"/>
    <w:rsid w:val="00554E19"/>
    <w:rsid w:val="0056009F"/>
    <w:rsid w:val="0056121F"/>
    <w:rsid w:val="005614AD"/>
    <w:rsid w:val="0057126B"/>
    <w:rsid w:val="00572505"/>
    <w:rsid w:val="00573C88"/>
    <w:rsid w:val="005805A1"/>
    <w:rsid w:val="00582188"/>
    <w:rsid w:val="00582809"/>
    <w:rsid w:val="00582A05"/>
    <w:rsid w:val="00586866"/>
    <w:rsid w:val="0058798C"/>
    <w:rsid w:val="00587EA2"/>
    <w:rsid w:val="005900FA"/>
    <w:rsid w:val="00590301"/>
    <w:rsid w:val="0059057A"/>
    <w:rsid w:val="00590E31"/>
    <w:rsid w:val="00590F9D"/>
    <w:rsid w:val="005932E3"/>
    <w:rsid w:val="005935A4"/>
    <w:rsid w:val="005942AF"/>
    <w:rsid w:val="005948C2"/>
    <w:rsid w:val="00595DCA"/>
    <w:rsid w:val="00597544"/>
    <w:rsid w:val="0059779B"/>
    <w:rsid w:val="005A209A"/>
    <w:rsid w:val="005A242F"/>
    <w:rsid w:val="005A6607"/>
    <w:rsid w:val="005A6620"/>
    <w:rsid w:val="005A662D"/>
    <w:rsid w:val="005A72BC"/>
    <w:rsid w:val="005B1409"/>
    <w:rsid w:val="005B341D"/>
    <w:rsid w:val="005B35D7"/>
    <w:rsid w:val="005B392A"/>
    <w:rsid w:val="005B3AA3"/>
    <w:rsid w:val="005B3B8A"/>
    <w:rsid w:val="005B6F83"/>
    <w:rsid w:val="005C438F"/>
    <w:rsid w:val="005C51E1"/>
    <w:rsid w:val="005C74FB"/>
    <w:rsid w:val="005D1602"/>
    <w:rsid w:val="005D2F06"/>
    <w:rsid w:val="005D3BFA"/>
    <w:rsid w:val="005E0749"/>
    <w:rsid w:val="005E0DD5"/>
    <w:rsid w:val="005E10E4"/>
    <w:rsid w:val="005E1C35"/>
    <w:rsid w:val="005E385F"/>
    <w:rsid w:val="005E45B5"/>
    <w:rsid w:val="005E5B81"/>
    <w:rsid w:val="005F2679"/>
    <w:rsid w:val="005F2987"/>
    <w:rsid w:val="005F2CB1"/>
    <w:rsid w:val="005F3025"/>
    <w:rsid w:val="005F618C"/>
    <w:rsid w:val="005F6356"/>
    <w:rsid w:val="005F70BD"/>
    <w:rsid w:val="0060283C"/>
    <w:rsid w:val="00604F14"/>
    <w:rsid w:val="00606165"/>
    <w:rsid w:val="006101EB"/>
    <w:rsid w:val="00611B83"/>
    <w:rsid w:val="00612289"/>
    <w:rsid w:val="00613257"/>
    <w:rsid w:val="00620A71"/>
    <w:rsid w:val="00620D80"/>
    <w:rsid w:val="00621705"/>
    <w:rsid w:val="006234A6"/>
    <w:rsid w:val="00627DE4"/>
    <w:rsid w:val="00630001"/>
    <w:rsid w:val="006311B3"/>
    <w:rsid w:val="0063284C"/>
    <w:rsid w:val="00633557"/>
    <w:rsid w:val="006338CA"/>
    <w:rsid w:val="00635CFE"/>
    <w:rsid w:val="00636398"/>
    <w:rsid w:val="006368D3"/>
    <w:rsid w:val="006377EC"/>
    <w:rsid w:val="006379E9"/>
    <w:rsid w:val="0064151F"/>
    <w:rsid w:val="00641533"/>
    <w:rsid w:val="00641F72"/>
    <w:rsid w:val="0064208D"/>
    <w:rsid w:val="00643475"/>
    <w:rsid w:val="0064396A"/>
    <w:rsid w:val="0064624E"/>
    <w:rsid w:val="00650AB9"/>
    <w:rsid w:val="00655733"/>
    <w:rsid w:val="00655ACD"/>
    <w:rsid w:val="00656A92"/>
    <w:rsid w:val="00656DDE"/>
    <w:rsid w:val="0066011D"/>
    <w:rsid w:val="006607C0"/>
    <w:rsid w:val="006613A6"/>
    <w:rsid w:val="006627A2"/>
    <w:rsid w:val="006629FC"/>
    <w:rsid w:val="00663087"/>
    <w:rsid w:val="006634E6"/>
    <w:rsid w:val="006655EE"/>
    <w:rsid w:val="00667EE7"/>
    <w:rsid w:val="006702FD"/>
    <w:rsid w:val="00670922"/>
    <w:rsid w:val="00670BE1"/>
    <w:rsid w:val="0067218F"/>
    <w:rsid w:val="006734FD"/>
    <w:rsid w:val="006741F2"/>
    <w:rsid w:val="00674CC3"/>
    <w:rsid w:val="00675C72"/>
    <w:rsid w:val="00676DED"/>
    <w:rsid w:val="006771F9"/>
    <w:rsid w:val="006776D7"/>
    <w:rsid w:val="00681003"/>
    <w:rsid w:val="006817C9"/>
    <w:rsid w:val="00683ECE"/>
    <w:rsid w:val="006872AC"/>
    <w:rsid w:val="00690CBE"/>
    <w:rsid w:val="00691518"/>
    <w:rsid w:val="00695FC2"/>
    <w:rsid w:val="006962E7"/>
    <w:rsid w:val="00696496"/>
    <w:rsid w:val="00696949"/>
    <w:rsid w:val="00697052"/>
    <w:rsid w:val="006A0305"/>
    <w:rsid w:val="006A1BFD"/>
    <w:rsid w:val="006A46FB"/>
    <w:rsid w:val="006A5E28"/>
    <w:rsid w:val="006A5F0C"/>
    <w:rsid w:val="006A5FC3"/>
    <w:rsid w:val="006A66E6"/>
    <w:rsid w:val="006A697B"/>
    <w:rsid w:val="006A7AFF"/>
    <w:rsid w:val="006B1816"/>
    <w:rsid w:val="006B1F1A"/>
    <w:rsid w:val="006B2099"/>
    <w:rsid w:val="006B27BC"/>
    <w:rsid w:val="006B50CF"/>
    <w:rsid w:val="006B6579"/>
    <w:rsid w:val="006B675E"/>
    <w:rsid w:val="006C03B8"/>
    <w:rsid w:val="006C0FA7"/>
    <w:rsid w:val="006C5EC9"/>
    <w:rsid w:val="006C6059"/>
    <w:rsid w:val="006C7522"/>
    <w:rsid w:val="006D323B"/>
    <w:rsid w:val="006D3901"/>
    <w:rsid w:val="006D5AF2"/>
    <w:rsid w:val="006D6F08"/>
    <w:rsid w:val="006E062C"/>
    <w:rsid w:val="006E1C82"/>
    <w:rsid w:val="006E231B"/>
    <w:rsid w:val="006E28B7"/>
    <w:rsid w:val="006E2A9B"/>
    <w:rsid w:val="006E3310"/>
    <w:rsid w:val="006E4E39"/>
    <w:rsid w:val="006E565E"/>
    <w:rsid w:val="006E673D"/>
    <w:rsid w:val="006E7D3B"/>
    <w:rsid w:val="006F0C6D"/>
    <w:rsid w:val="006F1B70"/>
    <w:rsid w:val="006F341D"/>
    <w:rsid w:val="006F3CDE"/>
    <w:rsid w:val="006F402D"/>
    <w:rsid w:val="006F58D4"/>
    <w:rsid w:val="006F6582"/>
    <w:rsid w:val="006F7393"/>
    <w:rsid w:val="0070346E"/>
    <w:rsid w:val="00704EDB"/>
    <w:rsid w:val="00705A32"/>
    <w:rsid w:val="00706101"/>
    <w:rsid w:val="00707072"/>
    <w:rsid w:val="00707D61"/>
    <w:rsid w:val="00710611"/>
    <w:rsid w:val="00712287"/>
    <w:rsid w:val="00712662"/>
    <w:rsid w:val="00712772"/>
    <w:rsid w:val="007130F2"/>
    <w:rsid w:val="007148D3"/>
    <w:rsid w:val="00715B9A"/>
    <w:rsid w:val="007257D0"/>
    <w:rsid w:val="00726636"/>
    <w:rsid w:val="00726720"/>
    <w:rsid w:val="00726C24"/>
    <w:rsid w:val="00726EA6"/>
    <w:rsid w:val="00727208"/>
    <w:rsid w:val="00727680"/>
    <w:rsid w:val="007348B1"/>
    <w:rsid w:val="007362A6"/>
    <w:rsid w:val="00736D7D"/>
    <w:rsid w:val="00737B3A"/>
    <w:rsid w:val="00737D37"/>
    <w:rsid w:val="00740E58"/>
    <w:rsid w:val="007445A0"/>
    <w:rsid w:val="00744DD2"/>
    <w:rsid w:val="0074524B"/>
    <w:rsid w:val="00745F29"/>
    <w:rsid w:val="00745F50"/>
    <w:rsid w:val="00747D8B"/>
    <w:rsid w:val="00751228"/>
    <w:rsid w:val="0075506D"/>
    <w:rsid w:val="007571E1"/>
    <w:rsid w:val="00757A16"/>
    <w:rsid w:val="007604B2"/>
    <w:rsid w:val="00765281"/>
    <w:rsid w:val="00766BAD"/>
    <w:rsid w:val="007670B8"/>
    <w:rsid w:val="007729A2"/>
    <w:rsid w:val="007755F2"/>
    <w:rsid w:val="00776971"/>
    <w:rsid w:val="00780A80"/>
    <w:rsid w:val="0078177E"/>
    <w:rsid w:val="007825D8"/>
    <w:rsid w:val="0078304C"/>
    <w:rsid w:val="00783673"/>
    <w:rsid w:val="00785490"/>
    <w:rsid w:val="0078672D"/>
    <w:rsid w:val="007925EA"/>
    <w:rsid w:val="00793CD8"/>
    <w:rsid w:val="007950D5"/>
    <w:rsid w:val="00795C92"/>
    <w:rsid w:val="00796231"/>
    <w:rsid w:val="0079652A"/>
    <w:rsid w:val="007A1CB3"/>
    <w:rsid w:val="007A306F"/>
    <w:rsid w:val="007A3F6C"/>
    <w:rsid w:val="007A43A6"/>
    <w:rsid w:val="007A58A6"/>
    <w:rsid w:val="007A7167"/>
    <w:rsid w:val="007B2D9D"/>
    <w:rsid w:val="007B399E"/>
    <w:rsid w:val="007B3D2D"/>
    <w:rsid w:val="007B50AE"/>
    <w:rsid w:val="007B51DF"/>
    <w:rsid w:val="007B7EF4"/>
    <w:rsid w:val="007C05DD"/>
    <w:rsid w:val="007C3D18"/>
    <w:rsid w:val="007C4F0E"/>
    <w:rsid w:val="007C4F42"/>
    <w:rsid w:val="007C553A"/>
    <w:rsid w:val="007C60BF"/>
    <w:rsid w:val="007C6A07"/>
    <w:rsid w:val="007C733E"/>
    <w:rsid w:val="007C75A1"/>
    <w:rsid w:val="007C77A5"/>
    <w:rsid w:val="007C7FA0"/>
    <w:rsid w:val="007D04E5"/>
    <w:rsid w:val="007D0625"/>
    <w:rsid w:val="007D5901"/>
    <w:rsid w:val="007D6B86"/>
    <w:rsid w:val="007D7526"/>
    <w:rsid w:val="007E1656"/>
    <w:rsid w:val="007E3FB0"/>
    <w:rsid w:val="007E44A1"/>
    <w:rsid w:val="007E4610"/>
    <w:rsid w:val="007E4715"/>
    <w:rsid w:val="007E4B53"/>
    <w:rsid w:val="007E505B"/>
    <w:rsid w:val="007E7091"/>
    <w:rsid w:val="007E7B27"/>
    <w:rsid w:val="007F0054"/>
    <w:rsid w:val="007F1C08"/>
    <w:rsid w:val="007F1FC0"/>
    <w:rsid w:val="007F3267"/>
    <w:rsid w:val="007F33AB"/>
    <w:rsid w:val="007F69B2"/>
    <w:rsid w:val="00803FAE"/>
    <w:rsid w:val="0080605F"/>
    <w:rsid w:val="00807204"/>
    <w:rsid w:val="00807786"/>
    <w:rsid w:val="00810CA8"/>
    <w:rsid w:val="00811B7D"/>
    <w:rsid w:val="00811FCB"/>
    <w:rsid w:val="008158D6"/>
    <w:rsid w:val="00817196"/>
    <w:rsid w:val="00822482"/>
    <w:rsid w:val="008235DB"/>
    <w:rsid w:val="00824AB4"/>
    <w:rsid w:val="00825C42"/>
    <w:rsid w:val="00825D25"/>
    <w:rsid w:val="00827D6F"/>
    <w:rsid w:val="0083464B"/>
    <w:rsid w:val="00835709"/>
    <w:rsid w:val="008376AC"/>
    <w:rsid w:val="00841024"/>
    <w:rsid w:val="00843229"/>
    <w:rsid w:val="008444E8"/>
    <w:rsid w:val="00844E80"/>
    <w:rsid w:val="00846FE7"/>
    <w:rsid w:val="00850B7D"/>
    <w:rsid w:val="00856911"/>
    <w:rsid w:val="00863ABD"/>
    <w:rsid w:val="008677FD"/>
    <w:rsid w:val="008706D4"/>
    <w:rsid w:val="00870F8A"/>
    <w:rsid w:val="008719A4"/>
    <w:rsid w:val="00871D23"/>
    <w:rsid w:val="00874312"/>
    <w:rsid w:val="0087437C"/>
    <w:rsid w:val="00875CD7"/>
    <w:rsid w:val="0087670F"/>
    <w:rsid w:val="00876B4D"/>
    <w:rsid w:val="00877CFB"/>
    <w:rsid w:val="00877F18"/>
    <w:rsid w:val="008802C0"/>
    <w:rsid w:val="00880614"/>
    <w:rsid w:val="00887F67"/>
    <w:rsid w:val="008941E3"/>
    <w:rsid w:val="00894A88"/>
    <w:rsid w:val="00895386"/>
    <w:rsid w:val="00896A8B"/>
    <w:rsid w:val="008A04DC"/>
    <w:rsid w:val="008A21FF"/>
    <w:rsid w:val="008A2598"/>
    <w:rsid w:val="008A2CE2"/>
    <w:rsid w:val="008A30AC"/>
    <w:rsid w:val="008A3A54"/>
    <w:rsid w:val="008A44B8"/>
    <w:rsid w:val="008A51A8"/>
    <w:rsid w:val="008A54C7"/>
    <w:rsid w:val="008A77D8"/>
    <w:rsid w:val="008B0483"/>
    <w:rsid w:val="008B120C"/>
    <w:rsid w:val="008B51A0"/>
    <w:rsid w:val="008B592A"/>
    <w:rsid w:val="008B7B5C"/>
    <w:rsid w:val="008C0C99"/>
    <w:rsid w:val="008C2017"/>
    <w:rsid w:val="008C2344"/>
    <w:rsid w:val="008C4958"/>
    <w:rsid w:val="008C4BAA"/>
    <w:rsid w:val="008C59D6"/>
    <w:rsid w:val="008C63B6"/>
    <w:rsid w:val="008C6AE8"/>
    <w:rsid w:val="008C7573"/>
    <w:rsid w:val="008D00A5"/>
    <w:rsid w:val="008D1C37"/>
    <w:rsid w:val="008D34F1"/>
    <w:rsid w:val="008D3643"/>
    <w:rsid w:val="008D39D8"/>
    <w:rsid w:val="008D6D1A"/>
    <w:rsid w:val="008E065E"/>
    <w:rsid w:val="008E06AD"/>
    <w:rsid w:val="008E0927"/>
    <w:rsid w:val="008E1909"/>
    <w:rsid w:val="008E21ED"/>
    <w:rsid w:val="008E4CC6"/>
    <w:rsid w:val="008F1EAB"/>
    <w:rsid w:val="008F33DC"/>
    <w:rsid w:val="008F477F"/>
    <w:rsid w:val="008F60DE"/>
    <w:rsid w:val="00902350"/>
    <w:rsid w:val="00902909"/>
    <w:rsid w:val="0090336B"/>
    <w:rsid w:val="009053AA"/>
    <w:rsid w:val="00906939"/>
    <w:rsid w:val="00910B7D"/>
    <w:rsid w:val="00911DFB"/>
    <w:rsid w:val="009139D9"/>
    <w:rsid w:val="00913DBD"/>
    <w:rsid w:val="00914AD8"/>
    <w:rsid w:val="00916079"/>
    <w:rsid w:val="00917CE9"/>
    <w:rsid w:val="00920BF2"/>
    <w:rsid w:val="00922010"/>
    <w:rsid w:val="0092655E"/>
    <w:rsid w:val="009265D9"/>
    <w:rsid w:val="00931BD9"/>
    <w:rsid w:val="00931C68"/>
    <w:rsid w:val="00933FB2"/>
    <w:rsid w:val="009368F3"/>
    <w:rsid w:val="009371B3"/>
    <w:rsid w:val="00937213"/>
    <w:rsid w:val="00937B32"/>
    <w:rsid w:val="00941636"/>
    <w:rsid w:val="00942EE9"/>
    <w:rsid w:val="00943742"/>
    <w:rsid w:val="00945C05"/>
    <w:rsid w:val="00946945"/>
    <w:rsid w:val="00947713"/>
    <w:rsid w:val="00950DE7"/>
    <w:rsid w:val="00951268"/>
    <w:rsid w:val="0095251C"/>
    <w:rsid w:val="00953920"/>
    <w:rsid w:val="00953D47"/>
    <w:rsid w:val="0095681E"/>
    <w:rsid w:val="009572D4"/>
    <w:rsid w:val="00961921"/>
    <w:rsid w:val="0096430A"/>
    <w:rsid w:val="0096554B"/>
    <w:rsid w:val="0096584A"/>
    <w:rsid w:val="009670AB"/>
    <w:rsid w:val="00967137"/>
    <w:rsid w:val="0097014A"/>
    <w:rsid w:val="00971F08"/>
    <w:rsid w:val="009750B3"/>
    <w:rsid w:val="009752CF"/>
    <w:rsid w:val="0097603D"/>
    <w:rsid w:val="00976949"/>
    <w:rsid w:val="00980477"/>
    <w:rsid w:val="00982624"/>
    <w:rsid w:val="00982A5B"/>
    <w:rsid w:val="00984849"/>
    <w:rsid w:val="00984C67"/>
    <w:rsid w:val="00985253"/>
    <w:rsid w:val="009853B3"/>
    <w:rsid w:val="00985FFD"/>
    <w:rsid w:val="00990630"/>
    <w:rsid w:val="00991761"/>
    <w:rsid w:val="00991AE2"/>
    <w:rsid w:val="00993386"/>
    <w:rsid w:val="0099339E"/>
    <w:rsid w:val="00993D44"/>
    <w:rsid w:val="00994A80"/>
    <w:rsid w:val="00994DCA"/>
    <w:rsid w:val="009960EC"/>
    <w:rsid w:val="009970DD"/>
    <w:rsid w:val="009A0FBA"/>
    <w:rsid w:val="009A1601"/>
    <w:rsid w:val="009A3BB6"/>
    <w:rsid w:val="009A462D"/>
    <w:rsid w:val="009A5CBA"/>
    <w:rsid w:val="009B1F30"/>
    <w:rsid w:val="009B31E9"/>
    <w:rsid w:val="009B3AC2"/>
    <w:rsid w:val="009B4DF4"/>
    <w:rsid w:val="009B564E"/>
    <w:rsid w:val="009B7E87"/>
    <w:rsid w:val="009C0169"/>
    <w:rsid w:val="009C403E"/>
    <w:rsid w:val="009C57BA"/>
    <w:rsid w:val="009C6A23"/>
    <w:rsid w:val="009D34C0"/>
    <w:rsid w:val="009D4FF0"/>
    <w:rsid w:val="009D703C"/>
    <w:rsid w:val="009D718F"/>
    <w:rsid w:val="009E068F"/>
    <w:rsid w:val="009E0D84"/>
    <w:rsid w:val="009E14E0"/>
    <w:rsid w:val="009E35DB"/>
    <w:rsid w:val="009E4300"/>
    <w:rsid w:val="009E47A3"/>
    <w:rsid w:val="009E69F5"/>
    <w:rsid w:val="009E6BFC"/>
    <w:rsid w:val="009F08F3"/>
    <w:rsid w:val="009F0D3B"/>
    <w:rsid w:val="009F225C"/>
    <w:rsid w:val="009F344F"/>
    <w:rsid w:val="00A03143"/>
    <w:rsid w:val="00A031D8"/>
    <w:rsid w:val="00A04666"/>
    <w:rsid w:val="00A048A8"/>
    <w:rsid w:val="00A04F49"/>
    <w:rsid w:val="00A13E54"/>
    <w:rsid w:val="00A16731"/>
    <w:rsid w:val="00A16B3F"/>
    <w:rsid w:val="00A17F63"/>
    <w:rsid w:val="00A2193B"/>
    <w:rsid w:val="00A2351A"/>
    <w:rsid w:val="00A23ADC"/>
    <w:rsid w:val="00A24009"/>
    <w:rsid w:val="00A264A9"/>
    <w:rsid w:val="00A26DCF"/>
    <w:rsid w:val="00A27785"/>
    <w:rsid w:val="00A30187"/>
    <w:rsid w:val="00A31F8B"/>
    <w:rsid w:val="00A3448A"/>
    <w:rsid w:val="00A36297"/>
    <w:rsid w:val="00A37F6F"/>
    <w:rsid w:val="00A41E2B"/>
    <w:rsid w:val="00A43045"/>
    <w:rsid w:val="00A45B74"/>
    <w:rsid w:val="00A50E2C"/>
    <w:rsid w:val="00A52575"/>
    <w:rsid w:val="00A52E1D"/>
    <w:rsid w:val="00A5490A"/>
    <w:rsid w:val="00A568B6"/>
    <w:rsid w:val="00A578A6"/>
    <w:rsid w:val="00A61499"/>
    <w:rsid w:val="00A62A77"/>
    <w:rsid w:val="00A63483"/>
    <w:rsid w:val="00A657D7"/>
    <w:rsid w:val="00A660AC"/>
    <w:rsid w:val="00A674AA"/>
    <w:rsid w:val="00A67E6C"/>
    <w:rsid w:val="00A71B99"/>
    <w:rsid w:val="00A71D80"/>
    <w:rsid w:val="00A739D0"/>
    <w:rsid w:val="00A761D4"/>
    <w:rsid w:val="00A77563"/>
    <w:rsid w:val="00A77EC4"/>
    <w:rsid w:val="00A81969"/>
    <w:rsid w:val="00A87C3F"/>
    <w:rsid w:val="00A926E0"/>
    <w:rsid w:val="00A92879"/>
    <w:rsid w:val="00A92AD6"/>
    <w:rsid w:val="00A9442A"/>
    <w:rsid w:val="00A9763D"/>
    <w:rsid w:val="00AA016F"/>
    <w:rsid w:val="00AA1ED6"/>
    <w:rsid w:val="00AA51D6"/>
    <w:rsid w:val="00AB0BC8"/>
    <w:rsid w:val="00AB11CA"/>
    <w:rsid w:val="00AB14D9"/>
    <w:rsid w:val="00AB1616"/>
    <w:rsid w:val="00AB2F49"/>
    <w:rsid w:val="00AB4AB8"/>
    <w:rsid w:val="00AB5FBA"/>
    <w:rsid w:val="00AB655E"/>
    <w:rsid w:val="00AC007F"/>
    <w:rsid w:val="00AC19B9"/>
    <w:rsid w:val="00AC29A4"/>
    <w:rsid w:val="00AC2ECD"/>
    <w:rsid w:val="00AC3119"/>
    <w:rsid w:val="00AC49FB"/>
    <w:rsid w:val="00AC5A10"/>
    <w:rsid w:val="00AD0514"/>
    <w:rsid w:val="00AD0AA3"/>
    <w:rsid w:val="00AD3F94"/>
    <w:rsid w:val="00AD4A5A"/>
    <w:rsid w:val="00AD4BE4"/>
    <w:rsid w:val="00AE27AC"/>
    <w:rsid w:val="00AE40E0"/>
    <w:rsid w:val="00AE4463"/>
    <w:rsid w:val="00AE4DBA"/>
    <w:rsid w:val="00AE4F07"/>
    <w:rsid w:val="00AE5AE4"/>
    <w:rsid w:val="00AF1C5D"/>
    <w:rsid w:val="00AF42D7"/>
    <w:rsid w:val="00B006FE"/>
    <w:rsid w:val="00B007CB"/>
    <w:rsid w:val="00B02882"/>
    <w:rsid w:val="00B02AA9"/>
    <w:rsid w:val="00B02FA3"/>
    <w:rsid w:val="00B03213"/>
    <w:rsid w:val="00B048AF"/>
    <w:rsid w:val="00B05084"/>
    <w:rsid w:val="00B1029C"/>
    <w:rsid w:val="00B1179B"/>
    <w:rsid w:val="00B157F9"/>
    <w:rsid w:val="00B16A80"/>
    <w:rsid w:val="00B20256"/>
    <w:rsid w:val="00B20D09"/>
    <w:rsid w:val="00B22BFA"/>
    <w:rsid w:val="00B230B1"/>
    <w:rsid w:val="00B23554"/>
    <w:rsid w:val="00B25F2A"/>
    <w:rsid w:val="00B2763F"/>
    <w:rsid w:val="00B27AAC"/>
    <w:rsid w:val="00B30929"/>
    <w:rsid w:val="00B34F57"/>
    <w:rsid w:val="00B372AA"/>
    <w:rsid w:val="00B40445"/>
    <w:rsid w:val="00B409E0"/>
    <w:rsid w:val="00B41888"/>
    <w:rsid w:val="00B45A52"/>
    <w:rsid w:val="00B45E71"/>
    <w:rsid w:val="00B46175"/>
    <w:rsid w:val="00B5116B"/>
    <w:rsid w:val="00B548B7"/>
    <w:rsid w:val="00B55FB9"/>
    <w:rsid w:val="00B57854"/>
    <w:rsid w:val="00B60A85"/>
    <w:rsid w:val="00B60F90"/>
    <w:rsid w:val="00B63CCC"/>
    <w:rsid w:val="00B65D92"/>
    <w:rsid w:val="00B664C7"/>
    <w:rsid w:val="00B717FA"/>
    <w:rsid w:val="00B739F6"/>
    <w:rsid w:val="00B745B8"/>
    <w:rsid w:val="00B81A6C"/>
    <w:rsid w:val="00B856B0"/>
    <w:rsid w:val="00B85DE5"/>
    <w:rsid w:val="00B90F73"/>
    <w:rsid w:val="00B93B59"/>
    <w:rsid w:val="00B9406A"/>
    <w:rsid w:val="00B94C49"/>
    <w:rsid w:val="00B952B9"/>
    <w:rsid w:val="00B95700"/>
    <w:rsid w:val="00BA2280"/>
    <w:rsid w:val="00BA2A08"/>
    <w:rsid w:val="00BA48A5"/>
    <w:rsid w:val="00BA56D2"/>
    <w:rsid w:val="00BA76E0"/>
    <w:rsid w:val="00BB0137"/>
    <w:rsid w:val="00BB2A25"/>
    <w:rsid w:val="00BB4ADF"/>
    <w:rsid w:val="00BB51E9"/>
    <w:rsid w:val="00BB52F4"/>
    <w:rsid w:val="00BC0273"/>
    <w:rsid w:val="00BC0FDC"/>
    <w:rsid w:val="00BC3053"/>
    <w:rsid w:val="00BC4D2E"/>
    <w:rsid w:val="00BD067B"/>
    <w:rsid w:val="00BD48AC"/>
    <w:rsid w:val="00BD5F1A"/>
    <w:rsid w:val="00BE1234"/>
    <w:rsid w:val="00BE25F6"/>
    <w:rsid w:val="00BE2FA6"/>
    <w:rsid w:val="00BE2FD7"/>
    <w:rsid w:val="00BE333F"/>
    <w:rsid w:val="00BE446A"/>
    <w:rsid w:val="00BE7406"/>
    <w:rsid w:val="00BE7603"/>
    <w:rsid w:val="00BF20ED"/>
    <w:rsid w:val="00BF2341"/>
    <w:rsid w:val="00BF3279"/>
    <w:rsid w:val="00BF556D"/>
    <w:rsid w:val="00BF6EC0"/>
    <w:rsid w:val="00BF74C7"/>
    <w:rsid w:val="00C01239"/>
    <w:rsid w:val="00C015F1"/>
    <w:rsid w:val="00C01F33"/>
    <w:rsid w:val="00C02CC6"/>
    <w:rsid w:val="00C040F7"/>
    <w:rsid w:val="00C044AB"/>
    <w:rsid w:val="00C05706"/>
    <w:rsid w:val="00C07377"/>
    <w:rsid w:val="00C10478"/>
    <w:rsid w:val="00C1100D"/>
    <w:rsid w:val="00C12107"/>
    <w:rsid w:val="00C12EB0"/>
    <w:rsid w:val="00C14CB9"/>
    <w:rsid w:val="00C14D4B"/>
    <w:rsid w:val="00C154BB"/>
    <w:rsid w:val="00C16884"/>
    <w:rsid w:val="00C232EE"/>
    <w:rsid w:val="00C24860"/>
    <w:rsid w:val="00C268E6"/>
    <w:rsid w:val="00C279B5"/>
    <w:rsid w:val="00C27C45"/>
    <w:rsid w:val="00C314F1"/>
    <w:rsid w:val="00C317B8"/>
    <w:rsid w:val="00C322E5"/>
    <w:rsid w:val="00C36DB8"/>
    <w:rsid w:val="00C3719D"/>
    <w:rsid w:val="00C37CB2"/>
    <w:rsid w:val="00C40B87"/>
    <w:rsid w:val="00C473A5"/>
    <w:rsid w:val="00C54676"/>
    <w:rsid w:val="00C54995"/>
    <w:rsid w:val="00C54D41"/>
    <w:rsid w:val="00C54FBA"/>
    <w:rsid w:val="00C5545F"/>
    <w:rsid w:val="00C57526"/>
    <w:rsid w:val="00C60783"/>
    <w:rsid w:val="00C63D4B"/>
    <w:rsid w:val="00C64672"/>
    <w:rsid w:val="00C70697"/>
    <w:rsid w:val="00C72093"/>
    <w:rsid w:val="00C72B8D"/>
    <w:rsid w:val="00C72EF4"/>
    <w:rsid w:val="00C744FE"/>
    <w:rsid w:val="00C75D2F"/>
    <w:rsid w:val="00C7650A"/>
    <w:rsid w:val="00C767BE"/>
    <w:rsid w:val="00C76E3C"/>
    <w:rsid w:val="00C7767B"/>
    <w:rsid w:val="00C813BB"/>
    <w:rsid w:val="00C81568"/>
    <w:rsid w:val="00C860C6"/>
    <w:rsid w:val="00C9027A"/>
    <w:rsid w:val="00C9068E"/>
    <w:rsid w:val="00C93814"/>
    <w:rsid w:val="00C93C4B"/>
    <w:rsid w:val="00C944AB"/>
    <w:rsid w:val="00C95B40"/>
    <w:rsid w:val="00CA0BBE"/>
    <w:rsid w:val="00CA1ED8"/>
    <w:rsid w:val="00CA26F6"/>
    <w:rsid w:val="00CA2F1B"/>
    <w:rsid w:val="00CA444B"/>
    <w:rsid w:val="00CA5440"/>
    <w:rsid w:val="00CA75D1"/>
    <w:rsid w:val="00CB07CE"/>
    <w:rsid w:val="00CB1A19"/>
    <w:rsid w:val="00CB1F63"/>
    <w:rsid w:val="00CB7170"/>
    <w:rsid w:val="00CC040E"/>
    <w:rsid w:val="00CC0BF6"/>
    <w:rsid w:val="00CC111F"/>
    <w:rsid w:val="00CC1954"/>
    <w:rsid w:val="00CC2011"/>
    <w:rsid w:val="00CC3EA0"/>
    <w:rsid w:val="00CC54AE"/>
    <w:rsid w:val="00CC6C5A"/>
    <w:rsid w:val="00CC7B45"/>
    <w:rsid w:val="00CD0877"/>
    <w:rsid w:val="00CD1188"/>
    <w:rsid w:val="00CD2ED1"/>
    <w:rsid w:val="00CD337B"/>
    <w:rsid w:val="00CD52B6"/>
    <w:rsid w:val="00CD56C9"/>
    <w:rsid w:val="00CE0424"/>
    <w:rsid w:val="00CE1028"/>
    <w:rsid w:val="00CE4DC3"/>
    <w:rsid w:val="00CE706A"/>
    <w:rsid w:val="00CE7561"/>
    <w:rsid w:val="00CF1354"/>
    <w:rsid w:val="00CF3B1F"/>
    <w:rsid w:val="00CF3BF6"/>
    <w:rsid w:val="00CF625B"/>
    <w:rsid w:val="00CF687E"/>
    <w:rsid w:val="00CF7F92"/>
    <w:rsid w:val="00D0349B"/>
    <w:rsid w:val="00D10249"/>
    <w:rsid w:val="00D115C3"/>
    <w:rsid w:val="00D11897"/>
    <w:rsid w:val="00D122F5"/>
    <w:rsid w:val="00D13135"/>
    <w:rsid w:val="00D13E4E"/>
    <w:rsid w:val="00D144C3"/>
    <w:rsid w:val="00D14B70"/>
    <w:rsid w:val="00D1789E"/>
    <w:rsid w:val="00D230B5"/>
    <w:rsid w:val="00D239A7"/>
    <w:rsid w:val="00D23C6B"/>
    <w:rsid w:val="00D23F47"/>
    <w:rsid w:val="00D31D5B"/>
    <w:rsid w:val="00D36E71"/>
    <w:rsid w:val="00D37D87"/>
    <w:rsid w:val="00D40B33"/>
    <w:rsid w:val="00D42CC9"/>
    <w:rsid w:val="00D430D5"/>
    <w:rsid w:val="00D4318F"/>
    <w:rsid w:val="00D438BF"/>
    <w:rsid w:val="00D43D32"/>
    <w:rsid w:val="00D440F8"/>
    <w:rsid w:val="00D50A82"/>
    <w:rsid w:val="00D546FF"/>
    <w:rsid w:val="00D55AD5"/>
    <w:rsid w:val="00D576CA"/>
    <w:rsid w:val="00D57BFF"/>
    <w:rsid w:val="00D6063E"/>
    <w:rsid w:val="00D61AF5"/>
    <w:rsid w:val="00D62F15"/>
    <w:rsid w:val="00D652B5"/>
    <w:rsid w:val="00D66155"/>
    <w:rsid w:val="00D6616B"/>
    <w:rsid w:val="00D701D8"/>
    <w:rsid w:val="00D708B0"/>
    <w:rsid w:val="00D76810"/>
    <w:rsid w:val="00D76898"/>
    <w:rsid w:val="00D77B1D"/>
    <w:rsid w:val="00D8021F"/>
    <w:rsid w:val="00D80383"/>
    <w:rsid w:val="00D80A90"/>
    <w:rsid w:val="00D823C6"/>
    <w:rsid w:val="00D8327F"/>
    <w:rsid w:val="00D86CA3"/>
    <w:rsid w:val="00D871CE"/>
    <w:rsid w:val="00D909BB"/>
    <w:rsid w:val="00D9196D"/>
    <w:rsid w:val="00D92982"/>
    <w:rsid w:val="00D93B4B"/>
    <w:rsid w:val="00D93DFB"/>
    <w:rsid w:val="00D97220"/>
    <w:rsid w:val="00DA18FA"/>
    <w:rsid w:val="00DA1D3D"/>
    <w:rsid w:val="00DA305E"/>
    <w:rsid w:val="00DA5417"/>
    <w:rsid w:val="00DA56E8"/>
    <w:rsid w:val="00DA734F"/>
    <w:rsid w:val="00DB0A9F"/>
    <w:rsid w:val="00DB377D"/>
    <w:rsid w:val="00DB3A56"/>
    <w:rsid w:val="00DB3F08"/>
    <w:rsid w:val="00DC2D36"/>
    <w:rsid w:val="00DC53EE"/>
    <w:rsid w:val="00DC53EF"/>
    <w:rsid w:val="00DC5C9B"/>
    <w:rsid w:val="00DE140A"/>
    <w:rsid w:val="00DE5608"/>
    <w:rsid w:val="00DE58D0"/>
    <w:rsid w:val="00DE654F"/>
    <w:rsid w:val="00DF0B6E"/>
    <w:rsid w:val="00DF15E0"/>
    <w:rsid w:val="00DF2AB0"/>
    <w:rsid w:val="00DF37A0"/>
    <w:rsid w:val="00DF66E1"/>
    <w:rsid w:val="00E000C2"/>
    <w:rsid w:val="00E028DB"/>
    <w:rsid w:val="00E0423D"/>
    <w:rsid w:val="00E0633E"/>
    <w:rsid w:val="00E0690F"/>
    <w:rsid w:val="00E110E7"/>
    <w:rsid w:val="00E119D7"/>
    <w:rsid w:val="00E11B20"/>
    <w:rsid w:val="00E156D9"/>
    <w:rsid w:val="00E161E0"/>
    <w:rsid w:val="00E17FA2"/>
    <w:rsid w:val="00E22330"/>
    <w:rsid w:val="00E24C8F"/>
    <w:rsid w:val="00E2725F"/>
    <w:rsid w:val="00E30B5A"/>
    <w:rsid w:val="00E3123D"/>
    <w:rsid w:val="00E31461"/>
    <w:rsid w:val="00E31D43"/>
    <w:rsid w:val="00E32608"/>
    <w:rsid w:val="00E34188"/>
    <w:rsid w:val="00E34B6E"/>
    <w:rsid w:val="00E35559"/>
    <w:rsid w:val="00E35A61"/>
    <w:rsid w:val="00E3723A"/>
    <w:rsid w:val="00E37860"/>
    <w:rsid w:val="00E41443"/>
    <w:rsid w:val="00E4193B"/>
    <w:rsid w:val="00E422DF"/>
    <w:rsid w:val="00E446F1"/>
    <w:rsid w:val="00E46886"/>
    <w:rsid w:val="00E47AEF"/>
    <w:rsid w:val="00E50206"/>
    <w:rsid w:val="00E51309"/>
    <w:rsid w:val="00E53B75"/>
    <w:rsid w:val="00E546A5"/>
    <w:rsid w:val="00E54E3B"/>
    <w:rsid w:val="00E552E7"/>
    <w:rsid w:val="00E55931"/>
    <w:rsid w:val="00E572D3"/>
    <w:rsid w:val="00E57565"/>
    <w:rsid w:val="00E6215C"/>
    <w:rsid w:val="00E63838"/>
    <w:rsid w:val="00E64434"/>
    <w:rsid w:val="00E65385"/>
    <w:rsid w:val="00E66FB4"/>
    <w:rsid w:val="00E67C51"/>
    <w:rsid w:val="00E70BD9"/>
    <w:rsid w:val="00E72EFC"/>
    <w:rsid w:val="00E73434"/>
    <w:rsid w:val="00E74130"/>
    <w:rsid w:val="00E758EC"/>
    <w:rsid w:val="00E75D91"/>
    <w:rsid w:val="00E7729E"/>
    <w:rsid w:val="00E8234C"/>
    <w:rsid w:val="00E836B4"/>
    <w:rsid w:val="00E83AA9"/>
    <w:rsid w:val="00E84A78"/>
    <w:rsid w:val="00E85928"/>
    <w:rsid w:val="00E87822"/>
    <w:rsid w:val="00E90395"/>
    <w:rsid w:val="00E90E49"/>
    <w:rsid w:val="00E917F9"/>
    <w:rsid w:val="00E9291C"/>
    <w:rsid w:val="00E93877"/>
    <w:rsid w:val="00E93FFE"/>
    <w:rsid w:val="00E94F8A"/>
    <w:rsid w:val="00EA2A7E"/>
    <w:rsid w:val="00EA7A41"/>
    <w:rsid w:val="00EA7DED"/>
    <w:rsid w:val="00EB077B"/>
    <w:rsid w:val="00EB4357"/>
    <w:rsid w:val="00EB4EA2"/>
    <w:rsid w:val="00EB65AE"/>
    <w:rsid w:val="00EC24D5"/>
    <w:rsid w:val="00EC27C6"/>
    <w:rsid w:val="00EC4207"/>
    <w:rsid w:val="00EC5512"/>
    <w:rsid w:val="00EC5653"/>
    <w:rsid w:val="00EC71CE"/>
    <w:rsid w:val="00ED1006"/>
    <w:rsid w:val="00EF10E3"/>
    <w:rsid w:val="00EF18FE"/>
    <w:rsid w:val="00EF4B59"/>
    <w:rsid w:val="00EF5787"/>
    <w:rsid w:val="00EF60D0"/>
    <w:rsid w:val="00EF67B8"/>
    <w:rsid w:val="00F01269"/>
    <w:rsid w:val="00F0528D"/>
    <w:rsid w:val="00F06C67"/>
    <w:rsid w:val="00F06DFD"/>
    <w:rsid w:val="00F071D1"/>
    <w:rsid w:val="00F07533"/>
    <w:rsid w:val="00F101C2"/>
    <w:rsid w:val="00F10629"/>
    <w:rsid w:val="00F15849"/>
    <w:rsid w:val="00F15FA5"/>
    <w:rsid w:val="00F17793"/>
    <w:rsid w:val="00F209B7"/>
    <w:rsid w:val="00F20F5C"/>
    <w:rsid w:val="00F2376F"/>
    <w:rsid w:val="00F243D8"/>
    <w:rsid w:val="00F26662"/>
    <w:rsid w:val="00F30828"/>
    <w:rsid w:val="00F313D6"/>
    <w:rsid w:val="00F33A88"/>
    <w:rsid w:val="00F33F70"/>
    <w:rsid w:val="00F3527C"/>
    <w:rsid w:val="00F40F0C"/>
    <w:rsid w:val="00F40F91"/>
    <w:rsid w:val="00F41DDC"/>
    <w:rsid w:val="00F4651E"/>
    <w:rsid w:val="00F4766C"/>
    <w:rsid w:val="00F5060E"/>
    <w:rsid w:val="00F507D1"/>
    <w:rsid w:val="00F519CE"/>
    <w:rsid w:val="00F51ADA"/>
    <w:rsid w:val="00F5346E"/>
    <w:rsid w:val="00F53905"/>
    <w:rsid w:val="00F54357"/>
    <w:rsid w:val="00F5584C"/>
    <w:rsid w:val="00F57F74"/>
    <w:rsid w:val="00F60203"/>
    <w:rsid w:val="00F607C5"/>
    <w:rsid w:val="00F60DEA"/>
    <w:rsid w:val="00F6302A"/>
    <w:rsid w:val="00F6302F"/>
    <w:rsid w:val="00F63950"/>
    <w:rsid w:val="00F648B1"/>
    <w:rsid w:val="00F64C2B"/>
    <w:rsid w:val="00F651BE"/>
    <w:rsid w:val="00F665F7"/>
    <w:rsid w:val="00F67F53"/>
    <w:rsid w:val="00F703BE"/>
    <w:rsid w:val="00F711FC"/>
    <w:rsid w:val="00F71F69"/>
    <w:rsid w:val="00F72B72"/>
    <w:rsid w:val="00F72F31"/>
    <w:rsid w:val="00F74BB9"/>
    <w:rsid w:val="00F75582"/>
    <w:rsid w:val="00F769D9"/>
    <w:rsid w:val="00F76EFA"/>
    <w:rsid w:val="00F80291"/>
    <w:rsid w:val="00F804BE"/>
    <w:rsid w:val="00F80FF3"/>
    <w:rsid w:val="00F817CE"/>
    <w:rsid w:val="00F8456C"/>
    <w:rsid w:val="00F859D8"/>
    <w:rsid w:val="00F868F5"/>
    <w:rsid w:val="00F9056A"/>
    <w:rsid w:val="00F90F8D"/>
    <w:rsid w:val="00F910F3"/>
    <w:rsid w:val="00F92782"/>
    <w:rsid w:val="00F93AA9"/>
    <w:rsid w:val="00F93ADB"/>
    <w:rsid w:val="00F9423E"/>
    <w:rsid w:val="00F96985"/>
    <w:rsid w:val="00F97838"/>
    <w:rsid w:val="00FA1307"/>
    <w:rsid w:val="00FA2BB3"/>
    <w:rsid w:val="00FA305D"/>
    <w:rsid w:val="00FA52A5"/>
    <w:rsid w:val="00FB1113"/>
    <w:rsid w:val="00FB2A35"/>
    <w:rsid w:val="00FB4C80"/>
    <w:rsid w:val="00FB6A6A"/>
    <w:rsid w:val="00FC309E"/>
    <w:rsid w:val="00FC7429"/>
    <w:rsid w:val="00FD07F6"/>
    <w:rsid w:val="00FD1EC8"/>
    <w:rsid w:val="00FD47ED"/>
    <w:rsid w:val="00FD482C"/>
    <w:rsid w:val="00FD5ECD"/>
    <w:rsid w:val="00FD74DB"/>
    <w:rsid w:val="00FD7660"/>
    <w:rsid w:val="00FE0655"/>
    <w:rsid w:val="00FE2365"/>
    <w:rsid w:val="00FE37D7"/>
    <w:rsid w:val="00FE4C7B"/>
    <w:rsid w:val="00FE5A86"/>
    <w:rsid w:val="00FE7336"/>
    <w:rsid w:val="00FE787C"/>
    <w:rsid w:val="00FF094B"/>
    <w:rsid w:val="00FF2406"/>
    <w:rsid w:val="00FF3521"/>
    <w:rsid w:val="00FF45A5"/>
    <w:rsid w:val="00FF5247"/>
    <w:rsid w:val="00FF5C91"/>
    <w:rsid w:val="00FF7DBB"/>
    <w:rsid w:val="1E3D00BF"/>
    <w:rsid w:val="2A209E92"/>
    <w:rsid w:val="602DBF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05DB0D1-8701-48CB-8C76-8E84C4DC8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41ED2"/>
    <w:rPr>
      <w:rFonts w:ascii="Times New Roman" w:hAnsi="Times New Roman"/>
      <w:lang w:eastAsia="ja-JP"/>
    </w:rPr>
  </w:style>
  <w:style w:type="character" w:styleId="Mention">
    <w:name w:val="Mention"/>
    <w:basedOn w:val="DefaultParagraphFont"/>
    <w:uiPriority w:val="99"/>
    <w:unhideWhenUsed/>
    <w:rsid w:val="00CA26F6"/>
    <w:rPr>
      <w:color w:val="2B579A"/>
      <w:shd w:val="clear" w:color="auto" w:fill="E1DFDD"/>
    </w:rPr>
  </w:style>
  <w:style w:type="character" w:customStyle="1" w:styleId="ui-provider">
    <w:name w:val="ui-provider"/>
    <w:basedOn w:val="DefaultParagraphFont"/>
    <w:rsid w:val="00E62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95439">
      <w:bodyDiv w:val="1"/>
      <w:marLeft w:val="0"/>
      <w:marRight w:val="0"/>
      <w:marTop w:val="0"/>
      <w:marBottom w:val="0"/>
      <w:divBdr>
        <w:top w:val="none" w:sz="0" w:space="0" w:color="auto"/>
        <w:left w:val="none" w:sz="0" w:space="0" w:color="auto"/>
        <w:bottom w:val="none" w:sz="0" w:space="0" w:color="auto"/>
        <w:right w:val="none" w:sz="0" w:space="0" w:color="auto"/>
      </w:divBdr>
      <w:divsChild>
        <w:div w:id="115566661">
          <w:marLeft w:val="288"/>
          <w:marRight w:val="0"/>
          <w:marTop w:val="60"/>
          <w:marBottom w:val="0"/>
          <w:divBdr>
            <w:top w:val="none" w:sz="0" w:space="0" w:color="auto"/>
            <w:left w:val="none" w:sz="0" w:space="0" w:color="auto"/>
            <w:bottom w:val="none" w:sz="0" w:space="0" w:color="auto"/>
            <w:right w:val="none" w:sz="0" w:space="0" w:color="auto"/>
          </w:divBdr>
        </w:div>
        <w:div w:id="1601451800">
          <w:marLeft w:val="288"/>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Mauricio Aracena</DisplayName>
        <AccountId>1017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835D054-B3E4-4144-8CAE-4292567EA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1053</TotalTime>
  <Pages>5</Pages>
  <Words>2272</Words>
  <Characters>12955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15197</CharactersWithSpaces>
  <SharedDoc>false</SharedDoc>
  <HLinks>
    <vt:vector size="60" baseType="variant">
      <vt:variant>
        <vt:i4>1310768</vt:i4>
      </vt:variant>
      <vt:variant>
        <vt:i4>26</vt:i4>
      </vt:variant>
      <vt:variant>
        <vt:i4>0</vt:i4>
      </vt:variant>
      <vt:variant>
        <vt:i4>5</vt:i4>
      </vt:variant>
      <vt:variant>
        <vt:lpwstr/>
      </vt:variant>
      <vt:variant>
        <vt:lpwstr>_Toc146817686</vt:lpwstr>
      </vt:variant>
      <vt:variant>
        <vt:i4>1310768</vt:i4>
      </vt:variant>
      <vt:variant>
        <vt:i4>23</vt:i4>
      </vt:variant>
      <vt:variant>
        <vt:i4>0</vt:i4>
      </vt:variant>
      <vt:variant>
        <vt:i4>5</vt:i4>
      </vt:variant>
      <vt:variant>
        <vt:lpwstr/>
      </vt:variant>
      <vt:variant>
        <vt:lpwstr>_Toc146817684</vt:lpwstr>
      </vt:variant>
      <vt:variant>
        <vt:i4>1310768</vt:i4>
      </vt:variant>
      <vt:variant>
        <vt:i4>20</vt:i4>
      </vt:variant>
      <vt:variant>
        <vt:i4>0</vt:i4>
      </vt:variant>
      <vt:variant>
        <vt:i4>5</vt:i4>
      </vt:variant>
      <vt:variant>
        <vt:lpwstr/>
      </vt:variant>
      <vt:variant>
        <vt:lpwstr>_Toc146817683</vt:lpwstr>
      </vt:variant>
      <vt:variant>
        <vt:i4>1310768</vt:i4>
      </vt:variant>
      <vt:variant>
        <vt:i4>17</vt:i4>
      </vt:variant>
      <vt:variant>
        <vt:i4>0</vt:i4>
      </vt:variant>
      <vt:variant>
        <vt:i4>5</vt:i4>
      </vt:variant>
      <vt:variant>
        <vt:lpwstr/>
      </vt:variant>
      <vt:variant>
        <vt:lpwstr>_Toc146817682</vt:lpwstr>
      </vt:variant>
      <vt:variant>
        <vt:i4>1310768</vt:i4>
      </vt:variant>
      <vt:variant>
        <vt:i4>14</vt:i4>
      </vt:variant>
      <vt:variant>
        <vt:i4>0</vt:i4>
      </vt:variant>
      <vt:variant>
        <vt:i4>5</vt:i4>
      </vt:variant>
      <vt:variant>
        <vt:lpwstr/>
      </vt:variant>
      <vt:variant>
        <vt:lpwstr>_Toc146817681</vt:lpwstr>
      </vt:variant>
      <vt:variant>
        <vt:i4>1310768</vt:i4>
      </vt:variant>
      <vt:variant>
        <vt:i4>11</vt:i4>
      </vt:variant>
      <vt:variant>
        <vt:i4>0</vt:i4>
      </vt:variant>
      <vt:variant>
        <vt:i4>5</vt:i4>
      </vt:variant>
      <vt:variant>
        <vt:lpwstr/>
      </vt:variant>
      <vt:variant>
        <vt:lpwstr>_Toc146817680</vt:lpwstr>
      </vt:variant>
      <vt:variant>
        <vt:i4>1769520</vt:i4>
      </vt:variant>
      <vt:variant>
        <vt:i4>8</vt:i4>
      </vt:variant>
      <vt:variant>
        <vt:i4>0</vt:i4>
      </vt:variant>
      <vt:variant>
        <vt:i4>5</vt:i4>
      </vt:variant>
      <vt:variant>
        <vt:lpwstr/>
      </vt:variant>
      <vt:variant>
        <vt:lpwstr>_Toc146817679</vt:lpwstr>
      </vt:variant>
      <vt:variant>
        <vt:i4>1769520</vt:i4>
      </vt:variant>
      <vt:variant>
        <vt:i4>5</vt:i4>
      </vt:variant>
      <vt:variant>
        <vt:i4>0</vt:i4>
      </vt:variant>
      <vt:variant>
        <vt:i4>5</vt:i4>
      </vt:variant>
      <vt:variant>
        <vt:lpwstr/>
      </vt:variant>
      <vt:variant>
        <vt:lpwstr>_Toc146817678</vt:lpwstr>
      </vt:variant>
      <vt:variant>
        <vt:i4>1769520</vt:i4>
      </vt:variant>
      <vt:variant>
        <vt:i4>2</vt:i4>
      </vt:variant>
      <vt:variant>
        <vt:i4>0</vt:i4>
      </vt:variant>
      <vt:variant>
        <vt:i4>5</vt:i4>
      </vt:variant>
      <vt:variant>
        <vt:lpwstr/>
      </vt:variant>
      <vt:variant>
        <vt:lpwstr>_Toc146817677</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Richard Tano</cp:lastModifiedBy>
  <cp:revision>43</cp:revision>
  <cp:lastPrinted>2008-02-01T01:09:00Z</cp:lastPrinted>
  <dcterms:created xsi:type="dcterms:W3CDTF">2023-10-24T07:15:00Z</dcterms:created>
  <dcterms:modified xsi:type="dcterms:W3CDTF">2023-11-03T00:22:00Z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